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ackground w:color="DFE4DA">
    <v:background id="_x0000_s1025" o:bwmode="white" filled="t" fillcolor="#dfe4da" v:ext="SMDATA_7_swU0agIAAACMAAAAAQAAAAAAAADf5NoAAAAAAAAAAAAAAAAAAAAAAAAAAAAAAAAAAAAAAAAAAABkAAAAAQAAAEAAAAAAAAAAAAAAAAAAAAAAAAAAAAAAAAAAAAAAAAAAAAAAAAAAAAAAAAAAAAAAAAAAAAAAAAAAAAAAAAAAAAAAAAAAA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gAAAAIAAAAAQAAAAEAAAAwAAAAFAAAAAAAAAAAAP//AAABAAAA//8AAAEA">
      <v:fill color2="#000000" type="solid" angle="90"/>
    </v:background>
  </w:background>
  <w:body>
    <w:p>
      <w:pPr>
        <w:pStyle w:val="para1"/>
      </w:pPr>
      <w:r/>
    </w:p>
    <w:p>
      <w:pPr>
        <w:pStyle w:val="para1"/>
      </w:pPr>
      <w:r/>
    </w:p>
    <w:p>
      <w:pPr>
        <w:pStyle w:val="para1"/>
      </w:pPr>
      <w:r/>
    </w:p>
    <w:p>
      <w:pPr>
        <w:pStyle w:val="para1"/>
      </w:pPr>
      <w:r/>
    </w:p>
    <w:p>
      <w:pPr>
        <w:pStyle w:val="para1"/>
      </w:pPr>
      <w:r/>
    </w:p>
    <w:p>
      <w:pPr>
        <w:pStyle w:val="para1"/>
      </w:pPr>
      <w:bookmarkStart w:id="0" w:name="_Toc232185138"/>
      <w:r>
        <w:t>Onderzoeksgids Sodomievervolgingen 1230-1729</w:t>
      </w:r>
      <w:bookmarkEnd w:id="0"/>
      <w:r/>
    </w:p>
    <w:p>
      <w:r/>
    </w:p>
    <w:p>
      <w:r/>
    </w:p>
    <w:p>
      <w:r/>
    </w:p>
    <w:p>
      <w:r/>
    </w:p>
    <w:p>
      <w:r/>
    </w:p>
    <w:p>
      <w:r/>
    </w:p>
    <w:p>
      <w:r/>
    </w:p>
    <w:p>
      <w:r/>
    </w:p>
    <w:p>
      <w:r/>
    </w:p>
    <w:p>
      <w:r/>
    </w:p>
    <w:p>
      <w:r/>
    </w:p>
    <w:p>
      <w:r>
        <w:t xml:space="preserve"> </w:t>
      </w:r>
    </w:p>
    <w:p>
      <w:r/>
    </w:p>
    <w:p>
      <w:r/>
    </w:p>
    <w:p>
      <w:r/>
    </w:p>
    <w:p>
      <w:pPr>
        <w:pStyle w:val="para1"/>
      </w:pPr>
      <w:bookmarkStart w:id="1" w:name="_Toc232185139"/>
      <w:r/>
    </w:p>
    <w:p>
      <w:pPr>
        <w:pStyle w:val="para1"/>
      </w:pPr>
      <w:r>
        <w:t>Inleiding: Doel en gebruik van de gids</w:t>
      </w:r>
      <w:bookmarkEnd w:id="1"/>
      <w:r/>
    </w:p>
    <w:p>
      <w:pPr>
        <w:rPr>
          <w:szCs w:val="24"/>
        </w:rPr>
      </w:pPr>
      <w:r>
        <w:rPr>
          <w:szCs w:val="24"/>
        </w:rPr>
        <w:t>Historisch onderzoek naar sodomievervolgingen vóór 1730 in de Noordelijke Nederlanden vraagt om een zorgvuldige omgang met uiteenlopende, vaak fragmentarische en normatief gekleurde bronnen. Deze gids helpt onderzoekers en studenten om dit bronnenlandschap te begrijpen en verantwoord te gebruiken.</w:t>
      </w:r>
    </w:p>
    <w:p>
      <w:pPr>
        <w:rPr>
          <w:szCs w:val="24"/>
        </w:rPr>
      </w:pPr>
      <w:r>
        <w:rPr>
          <w:szCs w:val="24"/>
        </w:rPr>
        <w:t>Sodomie verwees in de vroegmoderne periode niet naar moderne seksuele identiteiten, maar naar een brede categorie verboden handelingen, waaronder seks tussen mannen, bestialiteit en andere ‘onnatuurlijke zonden’. Het begrip functioneerde binnen zowel de kerkelijke als de wereldlijke rechtspraak en speelde een rol in discussies over orde, moraliteit en sociale controle. Juist omdat de term zo anders werkt dan hedendaagse begrippen als ‘homoseksualiteit’ of ‘queer’, is historisch onderzoek naar sodomie methodologisch uitdagend én relevant.</w:t>
      </w:r>
    </w:p>
    <w:p>
      <w:pPr>
        <w:rPr>
          <w:szCs w:val="24"/>
        </w:rPr>
      </w:pPr>
      <w:r>
        <w:rPr>
          <w:szCs w:val="24"/>
        </w:rPr>
        <w:t xml:space="preserve">De gids richt zich op de periode vóór 1730, omdat de documentatie over sodomie in deze eeuwen schaars, ongelijk verdeeld en vaak verhuld is. Rond 1230 verschijnen de eerste expliciete vermeldingen in de Nederlandse context, terwijl de uitzonderlijke vervolgingsgolf van 1730 een geheel ander type bronproductie markeert. Door deze periode als eigen onderzoeksveld te behandelen, ontstaat ruimte om te werken met bronnen die minder zichtbaar zijn, maar wel cruciaal zijn </w:t>
      </w:r>
      <w:r>
        <w:rPr>
          <w:szCs w:val="24"/>
        </w:rPr>
        <w:t xml:space="preserve">voor het begrijpen van </w:t>
      </w:r>
      <w:r>
        <w:rPr>
          <w:szCs w:val="24"/>
        </w:rPr>
        <w:t>vervolgingen in de vroege moderne periode</w:t>
      </w:r>
      <w:r>
        <w:rPr>
          <w:szCs w:val="24"/>
        </w:rPr>
        <w:t>.</w:t>
      </w:r>
      <w:r>
        <w:rPr>
          <w:szCs w:val="24"/>
        </w:rPr>
      </w:r>
    </w:p>
    <w:p>
      <w:pPr>
        <w:rPr>
          <w:szCs w:val="24"/>
        </w:rPr>
      </w:pPr>
      <w:r>
        <w:rPr>
          <w:szCs w:val="24"/>
        </w:rPr>
        <w:t xml:space="preserve">Met ‘Noordelijke Nederlanden’ wordt het gebied bedoeld dat grofweg overeenkomt met het huidige Nederland. In deze regio ontwikkelden zich vanaf de middeleeuwen stedelijke rechtspraak, bestuurlijke structuren en archiefpraktijken die bepalend zijn voor hoe sodomie in de bronnen </w:t>
      </w:r>
      <w:r>
        <w:rPr>
          <w:szCs w:val="24"/>
        </w:rPr>
        <w:t>wordt verbeeld</w:t>
      </w:r>
      <w:r>
        <w:rPr>
          <w:szCs w:val="24"/>
        </w:rPr>
        <w:t>. Regionale verschillen</w:t>
      </w:r>
      <w:r>
        <w:rPr>
          <w:szCs w:val="24"/>
        </w:rPr>
        <w:t xml:space="preserve">, </w:t>
      </w:r>
      <w:r>
        <w:rPr>
          <w:szCs w:val="24"/>
        </w:rPr>
        <w:t>tussen bijvoorbeeld Holland, Utrecht of de oostelijke gewesten</w:t>
      </w:r>
      <w:r>
        <w:rPr>
          <w:szCs w:val="24"/>
        </w:rPr>
        <w:t xml:space="preserve">, </w:t>
      </w:r>
      <w:r>
        <w:rPr>
          <w:szCs w:val="24"/>
        </w:rPr>
        <w:t>beïnvloeden bovendien welke bronnen bewaard zijn gebleven en hoe gedetailleerd zij zijn.</w:t>
      </w:r>
      <w:r>
        <w:rPr>
          <w:szCs w:val="24"/>
        </w:rPr>
      </w:r>
    </w:p>
    <w:p>
      <w:pPr>
        <w:rPr>
          <w:szCs w:val="24"/>
        </w:rPr>
      </w:pPr>
      <w:r>
        <w:rPr>
          <w:szCs w:val="24"/>
        </w:rPr>
        <w:t>Deze gids is bedoeld voor bachelorstudenten, onderzoekers en erfgoedprofessionals die weinig of geen ervaring hebben met archiefonderzoek. Ze biedt een overzicht van bronsoorten, uitleg over wat wél en niet in het archief is overgeleverd, en praktische handvatten voor het zoeken, lezen en interpreteren van vroegmoderne bronnen. Het doel is om gebruikers te ondersteunen bij het maken van onderbouwde keuzes tijdens hun onderzoek.</w:t>
      </w:r>
    </w:p>
    <w:p>
      <w:pPr>
        <w:ind w:left="708" w:hanging="708"/>
        <w:rPr>
          <w:szCs w:val="24"/>
        </w:rPr>
      </w:pPr>
      <w:r>
        <w:rPr>
          <w:szCs w:val="24"/>
        </w:rPr>
      </w:r>
    </w:p>
    <w:p>
      <w:pPr>
        <w:ind w:left="708" w:hanging="708"/>
        <w:rPr>
          <w:szCs w:val="24"/>
        </w:rPr>
      </w:pPr>
      <w:r>
        <w:rPr>
          <w:szCs w:val="24"/>
        </w:rPr>
      </w:r>
    </w:p>
    <w:p>
      <w:pPr>
        <w:ind w:left="708" w:hanging="708"/>
        <w:rPr>
          <w:szCs w:val="24"/>
        </w:rPr>
      </w:pPr>
      <w:r>
        <w:rPr>
          <w:szCs w:val="24"/>
        </w:rPr>
      </w:r>
    </w:p>
    <w:p>
      <w:pPr>
        <w:ind w:left="708" w:hanging="708"/>
        <w:rPr>
          <w:szCs w:val="24"/>
        </w:rPr>
      </w:pPr>
      <w:r>
        <w:rPr>
          <w:szCs w:val="24"/>
        </w:rPr>
      </w:r>
    </w:p>
    <w:p>
      <w:pPr>
        <w:ind w:left="708" w:hanging="708"/>
        <w:rPr>
          <w:szCs w:val="24"/>
        </w:rPr>
      </w:pPr>
      <w:r>
        <w:rPr>
          <w:szCs w:val="24"/>
        </w:rPr>
      </w:r>
    </w:p>
    <w:p>
      <w:pPr>
        <w:pStyle w:val="para17"/>
      </w:pPr>
      <w:r>
        <w:t>Inhoud</w:t>
      </w:r>
    </w:p>
    <w:p>
      <w:pPr>
        <w:pStyle w:val="para23"/>
        <w:tabs defTabSz="708">
          <w:tab w:val="right" w:pos="9062" w:leader="dot"/>
        </w:tabs>
        <w:rPr>
          <w:rFonts w:ascii="Calibri" w:hAnsi="Calibri"/>
          <w:color w:val="auto"/>
          <w:kern w:val="1"/>
          <w:szCs w:val="24"/>
          <w:lang w:eastAsia="nl-nl"/>
        </w:rPr>
      </w:pPr>
      <w:r>
        <w:rPr>
          <w:rFonts w:ascii="Calibri" w:hAnsi="Calibri"/>
          <w:color w:val="auto"/>
          <w:kern w:val="1"/>
          <w:szCs w:val="24"/>
          <w:lang w:eastAsia="nl-nl"/>
        </w:rPr>
        <w:fldChar w:fldCharType="begin"/>
      </w:r>
      <w:r>
        <w:rPr>
          <w:rFonts w:ascii="Calibri" w:hAnsi="Calibri"/>
          <w:color w:val="auto"/>
          <w:kern w:val="1"/>
          <w:szCs w:val="24"/>
          <w:lang w:eastAsia="nl-nl"/>
        </w:rPr>
        <w:instrText xml:space="preserve"> TOC \o \z \h </w:instrText>
      </w:r>
      <w:r>
        <w:rPr>
          <w:rFonts w:ascii="Calibri" w:hAnsi="Calibri"/>
          <w:color w:val="auto"/>
          <w:kern w:val="1"/>
          <w:szCs w:val="24"/>
          <w:lang w:eastAsia="nl-nl"/>
        </w:rPr>
        <w:fldChar w:fldCharType="separate"/>
      </w:r>
      <w:hyperlink w:anchor="_Toc232185138" w:history="1">
        <w:r>
          <w:rPr>
            <w:rStyle w:val="char26"/>
            <w:color w:val="313829"/>
            <w:u w:color="auto" w:val="none"/>
          </w:rPr>
          <w:t>Onderzoeksgids Sodomievervolgingen 1230-1729</w:t>
        </w:r>
        <w:r>
          <w:tab/>
        </w:r>
        <w:r>
          <w:fldChar w:fldCharType="begin"/>
          <w:instrText xml:space="preserve"> PAGEREF _Toc232185138 \h \* Arabic </w:instrText>
          <w:fldChar w:fldCharType="separate"/>
          <w:t>1</w:t>
          <w:fldChar w:fldCharType="end"/>
        </w:r>
      </w:hyperlink>
    </w:p>
    <w:p>
      <w:pPr>
        <w:pStyle w:val="para23"/>
        <w:tabs defTabSz="708">
          <w:tab w:val="right" w:pos="9062" w:leader="dot"/>
        </w:tabs>
        <w:rPr>
          <w:rFonts w:ascii="Calibri" w:hAnsi="Calibri"/>
          <w:color w:val="auto"/>
          <w:kern w:val="1"/>
          <w:szCs w:val="24"/>
          <w:lang w:eastAsia="nl-nl"/>
        </w:rPr>
      </w:pPr>
      <w:hyperlink w:anchor="_Toc232185139" w:history="1">
        <w:r>
          <w:rPr>
            <w:rStyle w:val="char26"/>
            <w:color w:val="313829"/>
            <w:u w:color="auto" w:val="none"/>
          </w:rPr>
          <w:t>Inleiding: Doel en gebruik van de gids</w:t>
        </w:r>
        <w:r>
          <w:tab/>
        </w:r>
        <w:r>
          <w:fldChar w:fldCharType="begin"/>
          <w:instrText xml:space="preserve"> PAGEREF _Toc232185139 \h \* Arabic </w:instrText>
          <w:fldChar w:fldCharType="separate"/>
          <w:t>2</w:t>
          <w:fldChar w:fldCharType="end"/>
        </w:r>
      </w:hyperlink>
    </w:p>
    <w:p>
      <w:pPr>
        <w:pStyle w:val="para23"/>
        <w:tabs defTabSz="708">
          <w:tab w:val="left" w:pos="720" w:leader="none"/>
          <w:tab w:val="right" w:pos="9062" w:leader="dot"/>
        </w:tabs>
        <w:rPr>
          <w:rFonts w:ascii="Calibri" w:hAnsi="Calibri"/>
          <w:color w:val="auto"/>
          <w:kern w:val="1"/>
          <w:szCs w:val="24"/>
          <w:lang w:eastAsia="nl-nl"/>
        </w:rPr>
      </w:pPr>
      <w:hyperlink w:anchor="_Toc232185140" w:history="1">
        <w:r>
          <w:rPr>
            <w:rStyle w:val="char26"/>
            <w:color w:val="313829"/>
            <w:u w:color="auto" w:val="none"/>
          </w:rPr>
          <w:t>1.</w:t>
        </w:r>
        <w:r>
          <w:rPr>
            <w:rFonts w:ascii="Calibri" w:hAnsi="Calibri"/>
            <w:color w:val="auto"/>
            <w:kern w:val="1"/>
            <w:szCs w:val="24"/>
            <w:lang w:eastAsia="nl-nl"/>
          </w:rPr>
          <w:tab/>
        </w:r>
        <w:r>
          <w:rPr>
            <w:rStyle w:val="char26"/>
            <w:color w:val="313829"/>
            <w:u w:color="auto" w:val="none"/>
          </w:rPr>
          <w:t>Tijd en context</w:t>
        </w:r>
        <w:r>
          <w:tab/>
        </w:r>
        <w:r>
          <w:fldChar w:fldCharType="begin"/>
          <w:instrText xml:space="preserve"> PAGEREF _Toc232185140 \h \* Arabic </w:instrText>
          <w:fldChar w:fldCharType="separate"/>
          <w:t>4</w:t>
          <w:fldChar w:fldCharType="end"/>
        </w:r>
      </w:hyperlink>
    </w:p>
    <w:p>
      <w:pPr>
        <w:pStyle w:val="para25"/>
        <w:tabs defTabSz="708">
          <w:tab w:val="right" w:pos="9062" w:leader="dot"/>
        </w:tabs>
        <w:rPr>
          <w:rFonts w:ascii="Calibri" w:hAnsi="Calibri"/>
          <w:color w:val="auto"/>
          <w:kern w:val="1"/>
          <w:szCs w:val="24"/>
          <w:lang w:eastAsia="nl-nl"/>
        </w:rPr>
      </w:pPr>
      <w:hyperlink w:anchor="_Toc232185141" w:history="1">
        <w:r>
          <w:rPr>
            <w:rStyle w:val="char26"/>
            <w:color w:val="313829"/>
            <w:u w:color="auto" w:val="none"/>
          </w:rPr>
          <w:t>Totstandkoming van de gids</w:t>
        </w:r>
        <w:r>
          <w:tab/>
        </w:r>
        <w:r>
          <w:fldChar w:fldCharType="begin"/>
          <w:instrText xml:space="preserve"> PAGEREF _Toc232185141 \h \* Arabic </w:instrText>
          <w:fldChar w:fldCharType="separate"/>
          <w:t>4</w:t>
          <w:fldChar w:fldCharType="end"/>
        </w:r>
      </w:hyperlink>
    </w:p>
    <w:p>
      <w:pPr>
        <w:pStyle w:val="para25"/>
        <w:tabs defTabSz="708">
          <w:tab w:val="right" w:pos="9062" w:leader="dot"/>
        </w:tabs>
        <w:rPr>
          <w:rFonts w:ascii="Calibri" w:hAnsi="Calibri"/>
          <w:color w:val="auto"/>
          <w:kern w:val="1"/>
          <w:szCs w:val="24"/>
          <w:lang w:eastAsia="nl-nl"/>
        </w:rPr>
      </w:pPr>
      <w:hyperlink w:anchor="_Toc232185142" w:history="1">
        <w:r>
          <w:rPr>
            <w:rStyle w:val="char26"/>
            <w:color w:val="313829"/>
            <w:u w:color="auto" w:val="none"/>
          </w:rPr>
          <w:t>Historische context</w:t>
        </w:r>
        <w:r>
          <w:tab/>
        </w:r>
        <w:r>
          <w:fldChar w:fldCharType="begin"/>
          <w:instrText xml:space="preserve"> PAGEREF _Toc232185142 \h \* Arabic </w:instrText>
          <w:fldChar w:fldCharType="separate"/>
          <w:t>4</w:t>
          <w:fldChar w:fldCharType="end"/>
        </w:r>
      </w:hyperlink>
    </w:p>
    <w:p>
      <w:pPr>
        <w:pStyle w:val="para23"/>
        <w:tabs defTabSz="708">
          <w:tab w:val="left" w:pos="720" w:leader="none"/>
          <w:tab w:val="right" w:pos="9062" w:leader="dot"/>
        </w:tabs>
        <w:rPr>
          <w:rFonts w:ascii="Calibri" w:hAnsi="Calibri"/>
          <w:color w:val="auto"/>
          <w:kern w:val="1"/>
          <w:szCs w:val="24"/>
          <w:lang w:eastAsia="nl-nl"/>
        </w:rPr>
      </w:pPr>
      <w:hyperlink w:anchor="_Toc232185143" w:history="1">
        <w:r>
          <w:rPr>
            <w:rStyle w:val="char26"/>
            <w:color w:val="313829"/>
            <w:u w:color="auto" w:val="none"/>
          </w:rPr>
          <w:t>2.</w:t>
        </w:r>
        <w:r>
          <w:rPr>
            <w:rFonts w:ascii="Calibri" w:hAnsi="Calibri"/>
            <w:color w:val="auto"/>
            <w:kern w:val="1"/>
            <w:szCs w:val="24"/>
            <w:lang w:eastAsia="nl-nl"/>
          </w:rPr>
          <w:tab/>
        </w:r>
        <w:r>
          <w:rPr>
            <w:rStyle w:val="char26"/>
            <w:color w:val="313829"/>
            <w:u w:color="auto" w:val="none"/>
          </w:rPr>
          <w:t>Bronnen voor onderzoek naar sodomievervolgingen</w:t>
        </w:r>
        <w:r>
          <w:tab/>
        </w:r>
        <w:r>
          <w:fldChar w:fldCharType="begin"/>
          <w:instrText xml:space="preserve"> PAGEREF _Toc232185143 \h \* Arabic </w:instrText>
          <w:fldChar w:fldCharType="separate"/>
          <w:t>6</w:t>
          <w:fldChar w:fldCharType="end"/>
        </w:r>
      </w:hyperlink>
    </w:p>
    <w:p>
      <w:pPr>
        <w:pStyle w:val="para24"/>
        <w:tabs defTabSz="708">
          <w:tab w:val="right" w:pos="9062" w:leader="dot"/>
        </w:tabs>
        <w:rPr>
          <w:rFonts w:ascii="Calibri" w:hAnsi="Calibri"/>
          <w:color w:val="auto"/>
          <w:kern w:val="1"/>
          <w:szCs w:val="24"/>
          <w:lang w:eastAsia="nl-nl"/>
        </w:rPr>
      </w:pPr>
      <w:hyperlink w:anchor="_Toc232185144" w:history="1">
        <w:r>
          <w:rPr>
            <w:rStyle w:val="char26"/>
            <w:color w:val="313829"/>
            <w:u w:color="auto" w:val="none"/>
          </w:rPr>
          <w:t>Inleiding</w:t>
        </w:r>
        <w:r>
          <w:tab/>
        </w:r>
        <w:r>
          <w:fldChar w:fldCharType="begin"/>
          <w:instrText xml:space="preserve"> PAGEREF _Toc232185144 \h \* Arabic </w:instrText>
          <w:fldChar w:fldCharType="separate"/>
          <w:t>6</w:t>
          <w:fldChar w:fldCharType="end"/>
        </w:r>
      </w:hyperlink>
    </w:p>
    <w:p>
      <w:pPr>
        <w:pStyle w:val="para24"/>
        <w:tabs defTabSz="708">
          <w:tab w:val="right" w:pos="9062" w:leader="dot"/>
        </w:tabs>
        <w:rPr>
          <w:rFonts w:ascii="Calibri" w:hAnsi="Calibri"/>
          <w:color w:val="auto"/>
          <w:kern w:val="1"/>
          <w:szCs w:val="24"/>
          <w:lang w:eastAsia="nl-nl"/>
        </w:rPr>
      </w:pPr>
      <w:hyperlink w:anchor="_Toc232185145" w:history="1">
        <w:r>
          <w:rPr>
            <w:rStyle w:val="char26"/>
            <w:color w:val="313829"/>
            <w:u w:color="auto" w:val="none"/>
          </w:rPr>
          <w:t>2.1 Straf- en processtukken</w:t>
        </w:r>
        <w:r>
          <w:tab/>
        </w:r>
        <w:r>
          <w:fldChar w:fldCharType="begin"/>
          <w:instrText xml:space="preserve"> PAGEREF _Toc232185145 \h \* Arabic </w:instrText>
          <w:fldChar w:fldCharType="separate"/>
          <w:t>6</w:t>
          <w:fldChar w:fldCharType="end"/>
        </w:r>
      </w:hyperlink>
    </w:p>
    <w:p>
      <w:pPr>
        <w:pStyle w:val="para24"/>
        <w:tabs defTabSz="708">
          <w:tab w:val="right" w:pos="9062" w:leader="dot"/>
        </w:tabs>
        <w:rPr>
          <w:rFonts w:ascii="Calibri" w:hAnsi="Calibri"/>
          <w:color w:val="auto"/>
          <w:kern w:val="1"/>
          <w:szCs w:val="24"/>
          <w:lang w:eastAsia="nl-nl"/>
        </w:rPr>
      </w:pPr>
      <w:hyperlink w:anchor="_Toc232185146" w:history="1">
        <w:r>
          <w:rPr>
            <w:rStyle w:val="char26"/>
            <w:color w:val="313829"/>
            <w:u w:color="auto" w:val="none"/>
          </w:rPr>
          <w:t>2.2 Plakkaten, ordonnanties &amp; pamfletten</w:t>
        </w:r>
        <w:r>
          <w:tab/>
        </w:r>
        <w:r>
          <w:fldChar w:fldCharType="begin"/>
          <w:instrText xml:space="preserve"> PAGEREF _Toc232185146 \h \* Arabic </w:instrText>
          <w:fldChar w:fldCharType="separate"/>
          <w:t>10</w:t>
          <w:fldChar w:fldCharType="end"/>
        </w:r>
      </w:hyperlink>
    </w:p>
    <w:p>
      <w:pPr>
        <w:pStyle w:val="para24"/>
        <w:tabs defTabSz="708">
          <w:tab w:val="right" w:pos="9062" w:leader="dot"/>
        </w:tabs>
        <w:rPr>
          <w:rFonts w:ascii="Calibri" w:hAnsi="Calibri"/>
          <w:color w:val="auto"/>
          <w:kern w:val="1"/>
          <w:szCs w:val="24"/>
          <w:lang w:eastAsia="nl-nl"/>
        </w:rPr>
      </w:pPr>
      <w:hyperlink w:anchor="_Toc232185147" w:history="1">
        <w:r>
          <w:rPr>
            <w:rStyle w:val="char26"/>
            <w:color w:val="313829"/>
            <w:u w:color="auto" w:val="none"/>
          </w:rPr>
          <w:t>2.3 Kerkelijke en moreel-theologische bronnen</w:t>
        </w:r>
        <w:r>
          <w:tab/>
        </w:r>
        <w:r>
          <w:fldChar w:fldCharType="begin"/>
          <w:instrText xml:space="preserve"> PAGEREF _Toc232185147 \h \* Arabic </w:instrText>
          <w:fldChar w:fldCharType="separate"/>
          <w:t>13</w:t>
          <w:fldChar w:fldCharType="end"/>
        </w:r>
      </w:hyperlink>
    </w:p>
    <w:p>
      <w:pPr>
        <w:pStyle w:val="para24"/>
        <w:tabs defTabSz="708">
          <w:tab w:val="right" w:pos="9062" w:leader="dot"/>
        </w:tabs>
        <w:rPr>
          <w:rFonts w:ascii="Calibri" w:hAnsi="Calibri"/>
          <w:color w:val="auto"/>
          <w:kern w:val="1"/>
          <w:szCs w:val="24"/>
          <w:lang w:eastAsia="nl-nl"/>
        </w:rPr>
      </w:pPr>
      <w:hyperlink w:anchor="_Toc232185148" w:history="1">
        <w:r>
          <w:rPr>
            <w:rStyle w:val="char26"/>
            <w:color w:val="313829"/>
            <w:u w:color="auto" w:val="none"/>
          </w:rPr>
          <w:t>2.4 Notariële en administratieve bronnen</w:t>
        </w:r>
        <w:r>
          <w:tab/>
        </w:r>
        <w:r>
          <w:fldChar w:fldCharType="begin"/>
          <w:instrText xml:space="preserve"> PAGEREF _Toc232185148 \h \* Arabic </w:instrText>
          <w:fldChar w:fldCharType="separate"/>
          <w:t>18</w:t>
          <w:fldChar w:fldCharType="end"/>
        </w:r>
      </w:hyperlink>
    </w:p>
    <w:p>
      <w:pPr>
        <w:pStyle w:val="para24"/>
        <w:tabs defTabSz="708">
          <w:tab w:val="right" w:pos="9062" w:leader="dot"/>
        </w:tabs>
        <w:rPr>
          <w:rFonts w:ascii="Calibri" w:hAnsi="Calibri"/>
          <w:color w:val="auto"/>
          <w:kern w:val="1"/>
          <w:szCs w:val="24"/>
          <w:lang w:eastAsia="nl-nl"/>
        </w:rPr>
      </w:pPr>
      <w:hyperlink w:anchor="_Toc232185149" w:history="1">
        <w:r>
          <w:rPr>
            <w:rStyle w:val="char26"/>
            <w:color w:val="313829"/>
            <w:u w:color="auto" w:val="none"/>
          </w:rPr>
          <w:t>2.5 Overzicht zoektermen</w:t>
        </w:r>
        <w:r>
          <w:tab/>
        </w:r>
        <w:r>
          <w:fldChar w:fldCharType="begin"/>
          <w:instrText xml:space="preserve"> PAGEREF _Toc232185149 \h \* Arabic </w:instrText>
          <w:fldChar w:fldCharType="separate"/>
          <w:t>24</w:t>
          <w:fldChar w:fldCharType="end"/>
        </w:r>
      </w:hyperlink>
    </w:p>
    <w:p>
      <w:pPr>
        <w:pStyle w:val="para23"/>
        <w:tabs defTabSz="708">
          <w:tab w:val="right" w:pos="9062" w:leader="dot"/>
        </w:tabs>
        <w:rPr>
          <w:rFonts w:ascii="Calibri" w:hAnsi="Calibri"/>
          <w:color w:val="auto"/>
          <w:kern w:val="1"/>
          <w:szCs w:val="24"/>
          <w:lang w:eastAsia="nl-nl"/>
        </w:rPr>
      </w:pPr>
      <w:hyperlink w:anchor="_Toc232185150" w:history="1">
        <w:r>
          <w:rPr>
            <w:rStyle w:val="char26"/>
            <w:color w:val="313829"/>
            <w:u w:color="auto" w:val="none"/>
          </w:rPr>
          <w:t>4. Wat ontbreekt in het archief?</w:t>
        </w:r>
        <w:r>
          <w:tab/>
        </w:r>
        <w:r>
          <w:fldChar w:fldCharType="begin"/>
          <w:instrText xml:space="preserve"> PAGEREF _Toc232185150 \h \* Arabic </w:instrText>
          <w:fldChar w:fldCharType="separate"/>
          <w:t>25</w:t>
          <w:fldChar w:fldCharType="end"/>
        </w:r>
      </w:hyperlink>
    </w:p>
    <w:p>
      <w:pPr>
        <w:pStyle w:val="para25"/>
        <w:tabs defTabSz="708">
          <w:tab w:val="right" w:pos="9062" w:leader="dot"/>
        </w:tabs>
        <w:rPr>
          <w:rFonts w:ascii="Calibri" w:hAnsi="Calibri"/>
          <w:color w:val="auto"/>
          <w:kern w:val="1"/>
          <w:szCs w:val="24"/>
          <w:lang w:eastAsia="nl-nl"/>
        </w:rPr>
      </w:pPr>
      <w:hyperlink w:anchor="_Toc232185151" w:history="1">
        <w:r>
          <w:rPr>
            <w:rStyle w:val="char26"/>
            <w:color w:val="313829"/>
            <w:u w:color="auto" w:val="none"/>
          </w:rPr>
          <w:t>4.1 Structurele afwezigheid van bepaalde perspectieven</w:t>
        </w:r>
        <w:r>
          <w:tab/>
        </w:r>
        <w:r>
          <w:fldChar w:fldCharType="begin"/>
          <w:instrText xml:space="preserve"> PAGEREF _Toc232185151 \h \* Arabic </w:instrText>
          <w:fldChar w:fldCharType="separate"/>
          <w:t>25</w:t>
          <w:fldChar w:fldCharType="end"/>
        </w:r>
      </w:hyperlink>
    </w:p>
    <w:p>
      <w:pPr>
        <w:pStyle w:val="para25"/>
        <w:tabs defTabSz="708">
          <w:tab w:val="right" w:pos="9062" w:leader="dot"/>
        </w:tabs>
        <w:rPr>
          <w:rFonts w:ascii="Calibri" w:hAnsi="Calibri"/>
          <w:color w:val="auto"/>
          <w:kern w:val="1"/>
          <w:szCs w:val="24"/>
          <w:lang w:eastAsia="nl-nl"/>
        </w:rPr>
      </w:pPr>
      <w:hyperlink w:anchor="_Toc232185152" w:history="1">
        <w:r>
          <w:rPr>
            <w:rStyle w:val="char26"/>
            <w:color w:val="313829"/>
            <w:u w:color="auto" w:val="none"/>
          </w:rPr>
          <w:t>4.2 Vernietiging, selectie en niet</w:t>
        </w:r>
        <w:r>
          <w:rPr>
            <w:rStyle w:val="char26"/>
            <w:color w:val="313829"/>
            <w:u w:color="auto" w:val="none"/>
          </w:rPr>
          <w:noBreakHyphen/>
          <w:t>registratie</w:t>
        </w:r>
        <w:r>
          <w:tab/>
        </w:r>
        <w:r>
          <w:fldChar w:fldCharType="begin"/>
          <w:instrText xml:space="preserve"> PAGEREF _Toc232185152 \h \* Arabic </w:instrText>
          <w:fldChar w:fldCharType="separate"/>
          <w:t>26</w:t>
          <w:fldChar w:fldCharType="end"/>
        </w:r>
      </w:hyperlink>
    </w:p>
    <w:p>
      <w:pPr>
        <w:pStyle w:val="para25"/>
        <w:tabs defTabSz="708">
          <w:tab w:val="right" w:pos="9062" w:leader="dot"/>
        </w:tabs>
        <w:rPr>
          <w:rFonts w:ascii="Calibri" w:hAnsi="Calibri"/>
          <w:color w:val="auto"/>
          <w:kern w:val="1"/>
          <w:szCs w:val="24"/>
          <w:lang w:eastAsia="nl-nl"/>
        </w:rPr>
      </w:pPr>
      <w:hyperlink w:anchor="_Toc232185153" w:history="1">
        <w:r>
          <w:rPr>
            <w:rStyle w:val="char26"/>
            <w:color w:val="313829"/>
            <w:u w:color="auto" w:val="none"/>
          </w:rPr>
          <w:t>4.3 Stilte als historisch gegeven</w:t>
        </w:r>
        <w:r>
          <w:tab/>
        </w:r>
        <w:r>
          <w:fldChar w:fldCharType="begin"/>
          <w:instrText xml:space="preserve"> PAGEREF _Toc232185153 \h \* Arabic </w:instrText>
          <w:fldChar w:fldCharType="separate"/>
          <w:t>27</w:t>
          <w:fldChar w:fldCharType="end"/>
        </w:r>
      </w:hyperlink>
    </w:p>
    <w:p>
      <w:pPr>
        <w:pStyle w:val="para23"/>
        <w:tabs defTabSz="708">
          <w:tab w:val="right" w:pos="9062" w:leader="dot"/>
        </w:tabs>
        <w:rPr>
          <w:rFonts w:ascii="Calibri" w:hAnsi="Calibri"/>
          <w:color w:val="auto"/>
          <w:kern w:val="1"/>
          <w:szCs w:val="24"/>
          <w:lang w:eastAsia="nl-nl"/>
        </w:rPr>
      </w:pPr>
      <w:hyperlink w:anchor="_Toc232185154" w:history="1">
        <w:r>
          <w:rPr>
            <w:rStyle w:val="char26"/>
            <w:color w:val="313829"/>
            <w:u w:color="auto" w:val="none"/>
          </w:rPr>
          <w:t>5. Methodes, invalshoeken voor werken met deze bronnen</w:t>
        </w:r>
        <w:r>
          <w:tab/>
        </w:r>
        <w:r>
          <w:fldChar w:fldCharType="begin"/>
          <w:instrText xml:space="preserve"> PAGEREF _Toc232185154 \h \* Arabic </w:instrText>
          <w:fldChar w:fldCharType="separate"/>
          <w:t>29</w:t>
          <w:fldChar w:fldCharType="end"/>
        </w:r>
      </w:hyperlink>
    </w:p>
    <w:p>
      <w:pPr>
        <w:pStyle w:val="para25"/>
        <w:tabs defTabSz="708">
          <w:tab w:val="right" w:pos="9062" w:leader="dot"/>
        </w:tabs>
        <w:rPr>
          <w:rFonts w:ascii="Calibri" w:hAnsi="Calibri"/>
          <w:color w:val="auto"/>
          <w:kern w:val="1"/>
          <w:szCs w:val="24"/>
          <w:lang w:eastAsia="nl-nl"/>
        </w:rPr>
      </w:pPr>
      <w:hyperlink w:anchor="_Toc232185155" w:history="1">
        <w:r>
          <w:rPr>
            <w:rStyle w:val="char26"/>
            <w:color w:val="313829"/>
            <w:u w:color="auto" w:val="none"/>
          </w:rPr>
          <w:t>5.1 Methodologische valkuilen en hoe ze te vermijden</w:t>
        </w:r>
        <w:r>
          <w:tab/>
        </w:r>
        <w:r>
          <w:fldChar w:fldCharType="begin"/>
          <w:instrText xml:space="preserve"> PAGEREF _Toc232185155 \h \* Arabic </w:instrText>
          <w:fldChar w:fldCharType="separate"/>
          <w:t>29</w:t>
          <w:fldChar w:fldCharType="end"/>
        </w:r>
      </w:hyperlink>
    </w:p>
    <w:p>
      <w:pPr>
        <w:pStyle w:val="para25"/>
        <w:tabs defTabSz="708">
          <w:tab w:val="right" w:pos="9062" w:leader="dot"/>
        </w:tabs>
        <w:rPr>
          <w:rFonts w:ascii="Calibri" w:hAnsi="Calibri"/>
          <w:color w:val="auto"/>
          <w:kern w:val="1"/>
          <w:szCs w:val="24"/>
          <w:lang w:eastAsia="nl-nl"/>
        </w:rPr>
      </w:pPr>
      <w:hyperlink w:anchor="_Toc232185156" w:history="1">
        <w:r>
          <w:rPr>
            <w:rStyle w:val="char26"/>
            <w:color w:val="313829"/>
            <w:u w:color="auto" w:val="none"/>
          </w:rPr>
          <w:t>5.2 Analytische strategieën: triangulatie, vergelijking en emotiegeschiedenis</w:t>
        </w:r>
        <w:r>
          <w:tab/>
        </w:r>
        <w:r>
          <w:fldChar w:fldCharType="begin"/>
          <w:instrText xml:space="preserve"> PAGEREF _Toc232185156 \h \* Arabic </w:instrText>
          <w:fldChar w:fldCharType="separate"/>
          <w:t>29</w:t>
          <w:fldChar w:fldCharType="end"/>
        </w:r>
      </w:hyperlink>
    </w:p>
    <w:p>
      <w:pPr>
        <w:pStyle w:val="para23"/>
        <w:tabs defTabSz="708">
          <w:tab w:val="right" w:pos="9062" w:leader="dot"/>
        </w:tabs>
        <w:rPr>
          <w:rFonts w:ascii="Calibri" w:hAnsi="Calibri"/>
          <w:color w:val="auto"/>
          <w:kern w:val="1"/>
          <w:szCs w:val="24"/>
          <w:lang w:eastAsia="nl-nl"/>
        </w:rPr>
      </w:pPr>
      <w:hyperlink w:anchor="_Toc232185157" w:history="1">
        <w:r>
          <w:rPr>
            <w:rStyle w:val="char26"/>
            <w:color w:val="313829"/>
            <w:u w:color="auto" w:val="none"/>
          </w:rPr>
          <w:t>6. Ethische en educatieve overwegingen</w:t>
        </w:r>
        <w:r>
          <w:tab/>
        </w:r>
        <w:r>
          <w:fldChar w:fldCharType="begin"/>
          <w:instrText xml:space="preserve"> PAGEREF _Toc232185157 \h \* Arabic </w:instrText>
          <w:fldChar w:fldCharType="separate"/>
          <w:t>32</w:t>
          <w:fldChar w:fldCharType="end"/>
        </w:r>
      </w:hyperlink>
    </w:p>
    <w:p>
      <w:pPr>
        <w:pStyle w:val="para23"/>
        <w:tabs defTabSz="708">
          <w:tab w:val="right" w:pos="9062" w:leader="dot"/>
        </w:tabs>
        <w:rPr>
          <w:rFonts w:ascii="Calibri" w:hAnsi="Calibri"/>
          <w:color w:val="auto"/>
          <w:kern w:val="1"/>
          <w:szCs w:val="24"/>
          <w:lang w:eastAsia="nl-nl"/>
        </w:rPr>
      </w:pPr>
      <w:hyperlink w:anchor="_Toc232185158" w:history="1">
        <w:r>
          <w:rPr>
            <w:rStyle w:val="char26"/>
            <w:color w:val="313829"/>
            <w:u w:color="auto" w:val="none"/>
          </w:rPr>
          <w:t>7. Casusvoorbeeld</w:t>
        </w:r>
        <w:r>
          <w:tab/>
        </w:r>
        <w:r>
          <w:fldChar w:fldCharType="begin"/>
          <w:instrText xml:space="preserve"> PAGEREF _Toc232185158 \h \* Arabic </w:instrText>
          <w:fldChar w:fldCharType="separate"/>
          <w:t>33</w:t>
          <w:fldChar w:fldCharType="end"/>
        </w:r>
      </w:hyperlink>
    </w:p>
    <w:p>
      <w:pPr>
        <w:pStyle w:val="para25"/>
        <w:tabs defTabSz="708">
          <w:tab w:val="right" w:pos="9062" w:leader="dot"/>
        </w:tabs>
        <w:rPr>
          <w:rFonts w:ascii="Calibri" w:hAnsi="Calibri"/>
          <w:color w:val="auto"/>
          <w:kern w:val="1"/>
          <w:szCs w:val="24"/>
          <w:lang w:eastAsia="nl-nl"/>
        </w:rPr>
      </w:pPr>
      <w:hyperlink w:anchor="_Toc232185159" w:history="1">
        <w:r>
          <w:rPr>
            <w:rStyle w:val="char26"/>
            <w:color w:val="313829"/>
            <w:u w:color="auto" w:val="none"/>
          </w:rPr>
          <w:t>Wat kunnen we hieruit concluderen, en wat niet?</w:t>
        </w:r>
        <w:r>
          <w:tab/>
        </w:r>
        <w:r>
          <w:fldChar w:fldCharType="begin"/>
          <w:instrText xml:space="preserve"> PAGEREF _Toc232185159 \h \* Arabic </w:instrText>
          <w:fldChar w:fldCharType="separate"/>
          <w:t>34</w:t>
          <w:fldChar w:fldCharType="end"/>
        </w:r>
      </w:hyperlink>
    </w:p>
    <w:p>
      <w:r>
        <w:fldChar w:fldCharType="end"/>
      </w:r>
      <w:r/>
    </w:p>
    <w:p>
      <w:pPr>
        <w:ind w:left="708" w:hanging="708"/>
        <w:rPr>
          <w:szCs w:val="24"/>
        </w:rPr>
      </w:pPr>
      <w:r>
        <w:rPr>
          <w:szCs w:val="24"/>
        </w:rPr>
      </w:r>
    </w:p>
    <w:p>
      <w:pPr>
        <w:rPr>
          <w:szCs w:val="24"/>
        </w:rPr>
      </w:pPr>
      <w:r>
        <w:rPr>
          <w:szCs w:val="24"/>
        </w:rPr>
      </w:r>
    </w:p>
    <w:p>
      <w:r/>
    </w:p>
    <w:p>
      <w:pPr>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6838" w:w="11906"/>
          <w:pgMar w:left="1417" w:top="1417" w:right="1417" w:bottom="1417" w:header="0" w:footer="708"/>
          <w:paperSrc w:first="0" w:other="0" a="0" b="0"/>
          <w:pgBorders w:display="firstPage" w:offsetFrom="page" w:zOrder="front">
            <w:top w:val="single" w:sz="6" w:space="24" w:color="49533D" tmln="15, 20, 20, 0, 480"/>
            <w:bottom w:val="single" w:sz="6" w:space="24" w:color="49533D" tmln="15, 20, 20, 0, 480"/>
            <w:left w:val="single" w:sz="6" w:space="24" w:color="49533D" tmln="15, 20, 20, 0, 480"/>
            <w:right w:val="single" w:sz="6" w:space="24" w:color="49533D" tmln="15, 20, 20, 0, 480"/>
          </w:pgBorders>
          <w:pgNumType w:fmt="decimal" w:start="1"/>
          <w:titlePg/>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rPr>
          <w:szCs w:val="24"/>
        </w:rPr>
      </w:pPr>
      <w:r>
        <w:rPr>
          <w:szCs w:val="24"/>
        </w:rPr>
      </w:r>
    </w:p>
    <w:p>
      <w:pPr>
        <w:pStyle w:val="para1"/>
        <w:numPr>
          <w:ilvl w:val="0"/>
          <w:numId w:val="27"/>
        </w:numPr>
        <w:ind w:left="720" w:hanging="360"/>
      </w:pPr>
      <w:r>
        <w:t xml:space="preserve"> </w:t>
      </w:r>
      <w:bookmarkStart w:id="2" w:name="_Toc232185140"/>
      <w:r>
        <w:t>Tijd en context</w:t>
      </w:r>
      <w:bookmarkEnd w:id="2"/>
      <w:r/>
    </w:p>
    <w:p>
      <w:pPr>
        <w:pStyle w:val="para3"/>
      </w:pPr>
      <w:bookmarkStart w:id="3" w:name="_Toc232185141"/>
      <w:r>
        <w:t>Totstandkoming van de gids</w:t>
      </w:r>
      <w:bookmarkEnd w:id="3"/>
      <w:r/>
    </w:p>
    <w:p>
      <w:pPr>
        <w:spacing w:after="240"/>
        <w:rPr>
          <w:rFonts w:ascii="Calibri" w:hAnsi="Calibri"/>
          <w:szCs w:val="24"/>
        </w:rPr>
      </w:pPr>
      <w:r>
        <w:rPr>
          <w:rFonts w:ascii="Calibri" w:hAnsi="Calibri"/>
          <w:szCs w:val="24"/>
        </w:rPr>
        <w:t>Deze onderzoeksgids is ontwikkeld in het kader van een afstudeerproject bij IHLIA LGBTI Heritage in 2026. De inhoud is gebaseerd op literatuuronderzoek en analyse van Nederlandse en internationale archiefcollecties. De gids biedt geen volledig overzicht van alle lopende of toekomstige studies, maar geeft een toegankelijk en bruikbaar kader voor iedereen die onderzoek wil doen naar sodomie vóór 1730.</w:t>
      </w:r>
    </w:p>
    <w:p>
      <w:pPr>
        <w:pStyle w:val="para3"/>
      </w:pPr>
      <w:bookmarkStart w:id="4" w:name="_Toc232185142"/>
      <w:r>
        <w:t>Historische context</w:t>
      </w:r>
      <w:bookmarkEnd w:id="4"/>
      <w:r/>
    </w:p>
    <w:p>
      <w:pPr>
        <w:spacing w:after="240"/>
        <w:rPr>
          <w:rFonts w:ascii="Calibri" w:hAnsi="Calibri"/>
          <w:szCs w:val="24"/>
        </w:rPr>
      </w:pPr>
      <w:r>
        <w:rPr>
          <w:rFonts w:ascii="Calibri" w:hAnsi="Calibri"/>
          <w:szCs w:val="24"/>
        </w:rPr>
        <w:t xml:space="preserve">Rond 1230 verschijnen in de Noordelijke Nederlanden de eerste expliciete vermeldingen van sodomie, in een periode waarin stedelijke rechtspraak, kerkelijke normen en morele classificaties zich snel ontwikkelen (Noordam 1995). Vergelijkbare ontwikkelingen zijn zichtbaar in andere delen van Europa: in Duitse steden, de Zuidelijke Nederlanden en Frankrijk worden in dezelfde periode soortgelijke termen en juridische categorieën gebruikt om ‘zonden tegen de natuur’ te benoemen en te vervolgen. Deze Europese parallellen laten zien dat de Nederlandse situatie deel uitmaakt van een bredere verschuiving in moraaltheologie en in de stedelijke regulering van seksuele en morele normen. In de eeuwen daarna blijft sodomie slechts sporadisch zichtbaar in de Noord-Nederlandse bronnen: middeleeuwse vermeldingen zijn schaars en vaak indirect, terwijl vanaf de zestiende eeuw meer processtukken en administratieve notities ontstaan, maar nog steeds ongelijk verdeeld en vaak verhuld in eufemistisch taalgebruik. Deze lange periode wordt gekenmerkt door een relatief stabiel begrippenkader en een vergelijkbaar, fragmentarisch bronlandschap. In 1730 verandert dit abrupt: een uitzonderlijke vervolgingsgolf leidt tot een explosie aan procesdossiers, verhoren, pamfletten en krantenberichten, waardoor het bronmateriaal vanaf dat moment veel rijker, gedetailleerder en systematischer wordt. Omdat deze overvloed andere zoekstrategieën en analysemethoden vereist, richt deze gids zich op de periode tot 1729, waarin onderzoekers vooral </w:t>
      </w:r>
      <w:r>
        <w:rPr>
          <w:rFonts w:ascii="Calibri" w:hAnsi="Calibri"/>
          <w:szCs w:val="24"/>
        </w:rPr>
        <w:t>met schaarse, verspreide en vaak verhulde bronnen werken</w:t>
      </w:r>
      <w:r>
        <w:rPr>
          <w:rFonts w:ascii="Calibri" w:hAnsi="Calibri"/>
          <w:szCs w:val="24"/>
        </w:rPr>
        <w:t>.</w:t>
      </w:r>
      <w:r>
        <w:rPr>
          <w:rFonts w:ascii="Calibri" w:hAnsi="Calibri"/>
          <w:szCs w:val="24"/>
        </w:rPr>
      </w:r>
    </w:p>
    <w:p>
      <w:pPr>
        <w:spacing w:after="240"/>
        <w:rPr>
          <w:rFonts w:ascii="Calibri" w:hAnsi="Calibri"/>
          <w:szCs w:val="24"/>
        </w:rPr>
      </w:pPr>
      <w:r>
        <w:rPr>
          <w:noProof/>
        </w:rPr>
        <mc:AlternateContent>
          <mc:Choice Requires="wps">
            <w:drawing>
              <wp:anchor distT="45720" distB="45720" distL="114300" distR="114300" simplePos="0" relativeHeight="251658241" behindDoc="1" locked="0" layoutInCell="0" hidden="0" allowOverlap="1">
                <wp:simplePos x="0" y="0"/>
                <wp:positionH relativeFrom="column">
                  <wp:posOffset>-295275</wp:posOffset>
                </wp:positionH>
                <wp:positionV relativeFrom="page">
                  <wp:posOffset>803275</wp:posOffset>
                </wp:positionV>
                <wp:extent cx="6416040" cy="5374640"/>
                <wp:effectExtent l="38100" t="38100" r="38100" b="38100"/>
                <wp:wrapTopAndBottom/>
                <wp:docPr id="1" name="Tekstvak 2"/>
                <wp:cNvGraphicFramePr/>
                <a:graphic xmlns:a="http://schemas.openxmlformats.org/drawingml/2006/main">
                  <a:graphicData uri="http://schemas.microsoft.com/office/word/2010/wordprocessingShape">
                    <wps:wsp>
                      <wps:cNvSpPr>
                        <a:extLst>
                          <a:ext uri="sm">
                            <sm:smNativeData xmlns:sm="sm" val="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IAAAAAIQAAAAAAAAAAAAAAAAAAAgAAAC/+//8AAAAAAAAAAPEEAAB4JwAAECEAAAQAAAC4AwAA8QQAACgAAAAIAAAAAQAAAAEAAAAwAAAAFAAAAAAAAAAAAP//AAABAAAA//8AAAEA"/>
                          </a:ext>
                        </a:extLst>
                      </wps:cNvSpPr>
                      <wps:spPr>
                        <a:xfrm>
                          <a:off x="0" y="0"/>
                          <a:ext cx="6416040" cy="5374640"/>
                        </a:xfrm>
                        <a:prstGeom prst="rect">
                          <a:avLst/>
                        </a:prstGeom>
                        <a:solidFill>
                          <a:srgbClr val="C0CAB5"/>
                        </a:solidFill>
                        <a:ln w="38100">
                          <a:solidFill>
                            <a:srgbClr val="A4AE93"/>
                          </a:solidFill>
                        </a:ln>
                      </wps:spPr>
                      <wps:txbx>
                        <w:txbxContent>
                          <w:p>
                            <w:pPr>
                              <w:ind w:left="-142"/>
                              <w:rPr>
                                <w:b/>
                                <w:bCs/>
                                <w:sz w:val="28"/>
                                <w:szCs w:val="28"/>
                              </w:rPr>
                            </w:pPr>
                            <w:r>
                              <w:rPr>
                                <w:b/>
                                <w:bCs/>
                                <w:sz w:val="28"/>
                                <w:szCs w:val="28"/>
                              </w:rPr>
                              <w:t xml:space="preserve">Gebruikte literatuur </w:t>
                            </w:r>
                          </w:p>
                          <w:p>
                            <w:pPr>
                              <w:ind w:left="-142"/>
                              <w:spacing w:after="0"/>
                              <w:rPr>
                                <w:sz w:val="22"/>
                                <w:szCs w:val="22"/>
                              </w:rPr>
                            </w:pPr>
                            <w:r>
                              <w:rPr>
                                <w:b/>
                                <w:bCs/>
                                <w:sz w:val="22"/>
                                <w:szCs w:val="22"/>
                              </w:rPr>
                              <w:t xml:space="preserve">Berents, Dick. “Homoseksualiteit en criminaliteit in de middeleeuwen.” </w:t>
                            </w:r>
                            <w:r>
                              <w:rPr>
                                <w:b/>
                                <w:bCs/>
                                <w:i/>
                                <w:iCs/>
                                <w:sz w:val="22"/>
                                <w:szCs w:val="22"/>
                              </w:rPr>
                              <w:t>Groniek</w:t>
                            </w:r>
                            <w:r>
                              <w:rPr>
                                <w:b/>
                                <w:bCs/>
                                <w:sz w:val="22"/>
                                <w:szCs w:val="22"/>
                              </w:rPr>
                              <w:t xml:space="preserve"> 66 (1980): 5–20.</w:t>
                            </w:r>
                            <w:r>
                              <w:rPr>
                                <w:sz w:val="22"/>
                                <w:szCs w:val="22"/>
                              </w:rPr>
                            </w:r>
                          </w:p>
                          <w:p>
                            <w:pPr>
                              <w:ind w:left="-142"/>
                              <w:rPr>
                                <w:sz w:val="22"/>
                                <w:szCs w:val="22"/>
                              </w:rPr>
                            </w:pPr>
                            <w:r>
                              <w:rPr>
                                <w:i/>
                                <w:iCs/>
                                <w:sz w:val="22"/>
                                <w:szCs w:val="22"/>
                              </w:rPr>
                              <w:t>Gebruikt voor de Utrechtse casus van 1352 en middeleeuwse context.</w:t>
                            </w:r>
                            <w:r>
                              <w:rPr>
                                <w:sz w:val="22"/>
                                <w:szCs w:val="22"/>
                              </w:rPr>
                            </w:r>
                          </w:p>
                          <w:p>
                            <w:pPr>
                              <w:ind w:left="-142"/>
                              <w:rPr>
                                <w:sz w:val="22"/>
                                <w:szCs w:val="22"/>
                              </w:rPr>
                            </w:pPr>
                            <w:r>
                              <w:rPr>
                                <w:b/>
                                <w:bCs/>
                                <w:sz w:val="22"/>
                                <w:szCs w:val="22"/>
                              </w:rPr>
                              <w:t xml:space="preserve">Noordam, Dirk Jaap. </w:t>
                            </w:r>
                            <w:r>
                              <w:rPr>
                                <w:b/>
                                <w:bCs/>
                                <w:i/>
                                <w:iCs/>
                                <w:sz w:val="22"/>
                                <w:szCs w:val="22"/>
                              </w:rPr>
                              <w:t>Riskante relaties: Vijf eeuwen homoseksualiteit in Nederland, 1233–1733</w:t>
                            </w:r>
                            <w:r>
                              <w:rPr>
                                <w:b/>
                                <w:bCs/>
                                <w:sz w:val="22"/>
                                <w:szCs w:val="22"/>
                              </w:rPr>
                              <w:t>. (1995.</w:t>
                            </w:r>
                            <w:r>
                              <w:rPr>
                                <w:sz w:val="22"/>
                                <w:szCs w:val="22"/>
                              </w:rPr>
                              <w:t xml:space="preserve"> </w:t>
                            </w:r>
                            <w:r>
                              <w:rPr>
                                <w:i/>
                                <w:iCs/>
                                <w:sz w:val="22"/>
                                <w:szCs w:val="22"/>
                              </w:rPr>
                              <w:t>Gebruikt voor de eerste vermeldingen (1233, 1321, 1352), terminologie, en het fragmentarische bronlandschap.</w:t>
                            </w:r>
                            <w:r>
                              <w:rPr>
                                <w:sz w:val="22"/>
                                <w:szCs w:val="22"/>
                              </w:rPr>
                            </w:r>
                          </w:p>
                          <w:p>
                            <w:pPr>
                              <w:ind w:left="-142"/>
                              <w:spacing w:after="0"/>
                              <w:rPr>
                                <w:sz w:val="22"/>
                                <w:szCs w:val="22"/>
                              </w:rPr>
                            </w:pPr>
                            <w:r>
                              <w:rPr>
                                <w:b/>
                                <w:bCs/>
                                <w:sz w:val="22"/>
                                <w:szCs w:val="22"/>
                              </w:rPr>
                              <w:t xml:space="preserve">Van der Meer, Theo. </w:t>
                            </w:r>
                            <w:r>
                              <w:rPr>
                                <w:b/>
                                <w:bCs/>
                                <w:i/>
                                <w:iCs/>
                                <w:sz w:val="22"/>
                                <w:szCs w:val="22"/>
                              </w:rPr>
                              <w:t>Sodoms zaad in Nederland: Het ontstaan van homoseksualiteit in de vroegmoderne tijd</w:t>
                            </w:r>
                            <w:r>
                              <w:rPr>
                                <w:b/>
                                <w:bCs/>
                                <w:sz w:val="22"/>
                                <w:szCs w:val="22"/>
                              </w:rPr>
                              <w:t>. Nijmegen: SUN, 1995.</w:t>
                            </w:r>
                            <w:r>
                              <w:rPr>
                                <w:sz w:val="22"/>
                                <w:szCs w:val="22"/>
                              </w:rPr>
                              <w:t xml:space="preserve"> </w:t>
                            </w:r>
                          </w:p>
                          <w:p>
                            <w:pPr>
                              <w:ind w:left="-142"/>
                              <w:rPr>
                                <w:sz w:val="22"/>
                                <w:szCs w:val="22"/>
                              </w:rPr>
                            </w:pPr>
                            <w:r>
                              <w:rPr>
                                <w:i/>
                                <w:iCs/>
                                <w:sz w:val="22"/>
                                <w:szCs w:val="22"/>
                              </w:rPr>
                              <w:t xml:space="preserve">Gebruikt voor de zichtbaarheid van 1730 en de historiografische vertekening. </w:t>
                            </w:r>
                            <w:r>
                              <w:rPr>
                                <w:sz w:val="22"/>
                                <w:szCs w:val="22"/>
                              </w:rPr>
                            </w:r>
                          </w:p>
                          <w:p>
                            <w:pPr>
                              <w:ind w:left="-142"/>
                            </w:pPr>
                            <w:r/>
                          </w:p>
                          <w:p>
                            <w:pPr>
                              <w:ind w:left="-142"/>
                              <w:rPr>
                                <w:b/>
                                <w:bCs/>
                                <w:sz w:val="28"/>
                                <w:szCs w:val="28"/>
                              </w:rPr>
                            </w:pPr>
                            <w:r>
                              <w:rPr>
                                <w:b/>
                                <w:bCs/>
                                <w:sz w:val="28"/>
                                <w:szCs w:val="28"/>
                              </w:rPr>
                              <w:t>Aanbevolen literatuur voor verdieping</w:t>
                            </w:r>
                          </w:p>
                          <w:p>
                            <w:pPr>
                              <w:ind w:left="-142"/>
                              <w:spacing w:after="0"/>
                              <w:rPr>
                                <w:sz w:val="22"/>
                                <w:szCs w:val="22"/>
                              </w:rPr>
                            </w:pPr>
                            <w:r>
                              <w:rPr>
                                <w:b/>
                                <w:bCs/>
                                <w:sz w:val="22"/>
                                <w:szCs w:val="22"/>
                              </w:rPr>
                              <w:t xml:space="preserve">Hergemöller, Bernd-Ulrich. </w:t>
                            </w:r>
                            <w:r>
                              <w:rPr>
                                <w:b/>
                                <w:bCs/>
                                <w:i/>
                                <w:iCs/>
                                <w:sz w:val="22"/>
                                <w:szCs w:val="22"/>
                              </w:rPr>
                              <w:t>Randgruppen der spätmittelalterlichen Gesellschaft</w:t>
                            </w:r>
                            <w:r>
                              <w:rPr>
                                <w:b/>
                                <w:bCs/>
                                <w:sz w:val="22"/>
                                <w:szCs w:val="22"/>
                              </w:rPr>
                              <w:t>. Frankfurt am Main: Fahlbusch, 2001.</w:t>
                            </w:r>
                            <w:r>
                              <w:rPr>
                                <w:sz w:val="22"/>
                                <w:szCs w:val="22"/>
                              </w:rPr>
                              <w:t xml:space="preserve"> </w:t>
                            </w:r>
                          </w:p>
                          <w:p>
                            <w:pPr>
                              <w:ind w:left="-142"/>
                              <w:rPr>
                                <w:sz w:val="22"/>
                                <w:szCs w:val="22"/>
                              </w:rPr>
                            </w:pPr>
                            <w:r>
                              <w:rPr>
                                <w:i/>
                                <w:iCs/>
                                <w:sz w:val="22"/>
                                <w:szCs w:val="22"/>
                              </w:rPr>
                              <w:t>Voor Europese parallellen, vooral Duitse en Zuid-Nederlandse steden.</w:t>
                            </w:r>
                            <w:r>
                              <w:rPr>
                                <w:sz w:val="22"/>
                                <w:szCs w:val="22"/>
                              </w:rPr>
                            </w:r>
                          </w:p>
                          <w:p>
                            <w:pPr>
                              <w:ind w:left="-142"/>
                              <w:rPr>
                                <w:sz w:val="22"/>
                                <w:szCs w:val="22"/>
                                <w:lang w:val="en-us"/>
                              </w:rPr>
                            </w:pPr>
                            <w:r>
                              <w:rPr>
                                <w:b/>
                                <w:bCs/>
                                <w:sz w:val="22"/>
                                <w:szCs w:val="22"/>
                                <w:lang w:val="en-us"/>
                              </w:rPr>
                              <w:t xml:space="preserve">Jordan, Mark. </w:t>
                            </w:r>
                            <w:r>
                              <w:rPr>
                                <w:b/>
                                <w:bCs/>
                                <w:i/>
                                <w:iCs/>
                                <w:sz w:val="22"/>
                                <w:szCs w:val="22"/>
                                <w:lang w:val="en-us"/>
                              </w:rPr>
                              <w:t>The Invention of Sodomy in Christian Theology</w:t>
                            </w:r>
                            <w:r>
                              <w:rPr>
                                <w:b/>
                                <w:bCs/>
                                <w:sz w:val="22"/>
                                <w:szCs w:val="22"/>
                                <w:lang w:val="en-us"/>
                              </w:rPr>
                              <w:t>. Chicago: University of Chicago Press, 1997.</w:t>
                            </w:r>
                            <w:r>
                              <w:rPr>
                                <w:sz w:val="22"/>
                                <w:szCs w:val="22"/>
                                <w:lang w:val="en-us"/>
                              </w:rPr>
                              <w:t xml:space="preserve"> </w:t>
                            </w:r>
                            <w:r>
                              <w:rPr>
                                <w:i/>
                                <w:iCs/>
                                <w:sz w:val="22"/>
                                <w:szCs w:val="22"/>
                                <w:lang w:val="en-us"/>
                              </w:rPr>
                              <w:t>Voor scholastieke conceptualisering van sodomie.</w:t>
                            </w:r>
                            <w:r>
                              <w:rPr>
                                <w:sz w:val="22"/>
                                <w:szCs w:val="22"/>
                                <w:lang w:val="en-us"/>
                              </w:rPr>
                            </w:r>
                          </w:p>
                          <w:p>
                            <w:pPr>
                              <w:ind w:left="-142"/>
                              <w:spacing w:after="0"/>
                              <w:rPr>
                                <w:sz w:val="22"/>
                                <w:szCs w:val="22"/>
                                <w:lang w:val="en-us"/>
                              </w:rPr>
                            </w:pPr>
                            <w:r>
                              <w:rPr>
                                <w:b/>
                                <w:bCs/>
                                <w:sz w:val="22"/>
                                <w:szCs w:val="22"/>
                                <w:lang w:val="en-us"/>
                              </w:rPr>
                              <w:t xml:space="preserve">Malcolm, Noel. </w:t>
                            </w:r>
                            <w:r>
                              <w:rPr>
                                <w:b/>
                                <w:bCs/>
                                <w:i/>
                                <w:iCs/>
                                <w:sz w:val="22"/>
                                <w:szCs w:val="22"/>
                                <w:lang w:val="en-us"/>
                              </w:rPr>
                              <w:t>Sodomy in Early Modern Europe</w:t>
                            </w:r>
                            <w:r>
                              <w:rPr>
                                <w:b/>
                                <w:bCs/>
                                <w:sz w:val="22"/>
                                <w:szCs w:val="22"/>
                                <w:lang w:val="en-us"/>
                              </w:rPr>
                              <w:t>. London: Routledge, 1997.</w:t>
                            </w:r>
                            <w:r>
                              <w:rPr>
                                <w:sz w:val="22"/>
                                <w:szCs w:val="22"/>
                                <w:lang w:val="en-us"/>
                              </w:rPr>
                              <w:t xml:space="preserve"> </w:t>
                            </w:r>
                          </w:p>
                          <w:p>
                            <w:pPr>
                              <w:ind w:left="-142"/>
                              <w:rPr>
                                <w:sz w:val="22"/>
                                <w:szCs w:val="22"/>
                              </w:rPr>
                            </w:pPr>
                            <w:r>
                              <w:rPr>
                                <w:i/>
                                <w:iCs/>
                                <w:sz w:val="22"/>
                                <w:szCs w:val="22"/>
                              </w:rPr>
                              <w:t>Voor Europese vergelijkingen (Frankrijk, Engeland, Duitse gebieden).</w:t>
                            </w:r>
                            <w:r>
                              <w:rPr>
                                <w:sz w:val="22"/>
                                <w:szCs w:val="22"/>
                              </w:rPr>
                            </w:r>
                          </w:p>
                          <w:p>
                            <w:pPr>
                              <w:ind w:left="-142"/>
                              <w:spacing w:after="0"/>
                              <w:rPr>
                                <w:sz w:val="22"/>
                                <w:szCs w:val="22"/>
                              </w:rPr>
                            </w:pPr>
                            <w:r>
                              <w:rPr>
                                <w:b/>
                                <w:bCs/>
                                <w:sz w:val="22"/>
                                <w:szCs w:val="22"/>
                              </w:rPr>
                              <w:t>Roelens, Jonas. Diverse artikelen over sodomie in de Zuidelijke Nederlanden (2018–2024).</w:t>
                            </w:r>
                            <w:r>
                              <w:rPr>
                                <w:sz w:val="22"/>
                                <w:szCs w:val="22"/>
                              </w:rPr>
                              <w:t xml:space="preserve"> </w:t>
                            </w:r>
                          </w:p>
                          <w:p>
                            <w:pPr>
                              <w:ind w:left="-142"/>
                              <w:rPr>
                                <w:sz w:val="22"/>
                                <w:szCs w:val="22"/>
                              </w:rPr>
                            </w:pPr>
                            <w:r>
                              <w:rPr>
                                <w:i/>
                                <w:iCs/>
                                <w:sz w:val="22"/>
                                <w:szCs w:val="22"/>
                              </w:rPr>
                              <w:t>Voor regionale vergelijking met Vlaanderen en Brabant.</w:t>
                            </w:r>
                            <w:r>
                              <w:rPr>
                                <w:sz w:val="22"/>
                                <w:szCs w:val="22"/>
                              </w:rPr>
                            </w:r>
                          </w:p>
                          <w:p>
                            <w:pPr>
                              <w:ind w:left="-142"/>
                              <w:spacing w:after="0"/>
                              <w:rPr>
                                <w:sz w:val="22"/>
                                <w:szCs w:val="22"/>
                              </w:rPr>
                            </w:pPr>
                            <w:r>
                              <w:rPr>
                                <w:b/>
                                <w:bCs/>
                                <w:sz w:val="22"/>
                                <w:szCs w:val="22"/>
                                <w:lang w:val="en-us"/>
                              </w:rPr>
                              <w:t xml:space="preserve">Trumbach, Randolph. </w:t>
                            </w:r>
                            <w:r>
                              <w:rPr>
                                <w:b/>
                                <w:bCs/>
                                <w:i/>
                                <w:iCs/>
                                <w:sz w:val="22"/>
                                <w:szCs w:val="22"/>
                                <w:lang w:val="en-us"/>
                              </w:rPr>
                              <w:t>Sex and the Gender Revolution, Volume 1: Heterosexuality and the Third Gender in Enlightenment London</w:t>
                            </w:r>
                            <w:r>
                              <w:rPr>
                                <w:b/>
                                <w:bCs/>
                                <w:sz w:val="22"/>
                                <w:szCs w:val="22"/>
                                <w:lang w:val="en-us"/>
                              </w:rPr>
                              <w:t xml:space="preserve">. </w:t>
                            </w:r>
                            <w:r>
                              <w:rPr>
                                <w:b/>
                                <w:bCs/>
                                <w:sz w:val="22"/>
                                <w:szCs w:val="22"/>
                              </w:rPr>
                              <w:t>Chicago: University of Chicago Press, 1998.</w:t>
                            </w:r>
                            <w:r>
                              <w:rPr>
                                <w:sz w:val="22"/>
                                <w:szCs w:val="22"/>
                              </w:rPr>
                              <w:t xml:space="preserve"> </w:t>
                            </w:r>
                          </w:p>
                          <w:p>
                            <w:pPr>
                              <w:ind w:left="-142"/>
                              <w:rPr>
                                <w:sz w:val="22"/>
                                <w:szCs w:val="22"/>
                              </w:rPr>
                            </w:pPr>
                            <w:r>
                              <w:rPr>
                                <w:i/>
                                <w:iCs/>
                                <w:sz w:val="22"/>
                                <w:szCs w:val="22"/>
                              </w:rPr>
                              <w:t>Voor bredere context van vroegmoderne seksualiteitsregimes.</w:t>
                            </w:r>
                            <w:r>
                              <w:rPr>
                                <w:sz w:val="22"/>
                                <w:szCs w:val="22"/>
                              </w:rPr>
                            </w:r>
                          </w:p>
                          <w:p>
                            <w:pPr>
                              <w:ind w:left="-142"/>
                            </w:p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2" o:spid="_x0000_s1026" style="position:absolute;margin-left:-23.25pt;margin-top:63.25pt;mso-position-vertical-relative:page;width:505.20pt;height:423.20pt;z-index:251658241;mso-wrap-distance-left:9.00pt;mso-wrap-distance-top:3.60pt;mso-wrap-distance-right:9.00pt;mso-wrap-distance-bottom:3.60pt;mso-wrap-style:square" strokeweight="3.00pt" strokecolor="#a4ae93" fillcolor="#c0cab5" v:ext="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IAAAAAIQAAAAAAAAAAAAAAAAAAAgAAAC/+//8AAAAAAAAAAPEEAAB4JwAAECEAAAQAAAC4AwAA8QQ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rPr>
                      </w:pPr>
                      <w:r>
                        <w:rPr>
                          <w:b/>
                          <w:bCs/>
                          <w:sz w:val="28"/>
                          <w:szCs w:val="28"/>
                        </w:rPr>
                        <w:t xml:space="preserve">Gebruikte literatuur </w:t>
                      </w:r>
                    </w:p>
                    <w:p>
                      <w:pPr>
                        <w:ind w:left="-142"/>
                        <w:spacing w:after="0"/>
                        <w:rPr>
                          <w:sz w:val="22"/>
                          <w:szCs w:val="22"/>
                        </w:rPr>
                      </w:pPr>
                      <w:r>
                        <w:rPr>
                          <w:b/>
                          <w:bCs/>
                          <w:sz w:val="22"/>
                          <w:szCs w:val="22"/>
                        </w:rPr>
                        <w:t xml:space="preserve">Berents, Dick. “Homoseksualiteit en criminaliteit in de middeleeuwen.” </w:t>
                      </w:r>
                      <w:r>
                        <w:rPr>
                          <w:b/>
                          <w:bCs/>
                          <w:i/>
                          <w:iCs/>
                          <w:sz w:val="22"/>
                          <w:szCs w:val="22"/>
                        </w:rPr>
                        <w:t>Groniek</w:t>
                      </w:r>
                      <w:r>
                        <w:rPr>
                          <w:b/>
                          <w:bCs/>
                          <w:sz w:val="22"/>
                          <w:szCs w:val="22"/>
                        </w:rPr>
                        <w:t xml:space="preserve"> 66 (1980): 5–20.</w:t>
                      </w:r>
                      <w:r>
                        <w:rPr>
                          <w:sz w:val="22"/>
                          <w:szCs w:val="22"/>
                        </w:rPr>
                      </w:r>
                    </w:p>
                    <w:p>
                      <w:pPr>
                        <w:ind w:left="-142"/>
                        <w:rPr>
                          <w:sz w:val="22"/>
                          <w:szCs w:val="22"/>
                        </w:rPr>
                      </w:pPr>
                      <w:r>
                        <w:rPr>
                          <w:i/>
                          <w:iCs/>
                          <w:sz w:val="22"/>
                          <w:szCs w:val="22"/>
                        </w:rPr>
                        <w:t>Gebruikt voor de Utrechtse casus van 1352 en middeleeuwse context.</w:t>
                      </w:r>
                      <w:r>
                        <w:rPr>
                          <w:sz w:val="22"/>
                          <w:szCs w:val="22"/>
                        </w:rPr>
                      </w:r>
                    </w:p>
                    <w:p>
                      <w:pPr>
                        <w:ind w:left="-142"/>
                        <w:rPr>
                          <w:sz w:val="22"/>
                          <w:szCs w:val="22"/>
                        </w:rPr>
                      </w:pPr>
                      <w:r>
                        <w:rPr>
                          <w:b/>
                          <w:bCs/>
                          <w:sz w:val="22"/>
                          <w:szCs w:val="22"/>
                        </w:rPr>
                        <w:t xml:space="preserve">Noordam, Dirk Jaap. </w:t>
                      </w:r>
                      <w:r>
                        <w:rPr>
                          <w:b/>
                          <w:bCs/>
                          <w:i/>
                          <w:iCs/>
                          <w:sz w:val="22"/>
                          <w:szCs w:val="22"/>
                        </w:rPr>
                        <w:t>Riskante relaties: Vijf eeuwen homoseksualiteit in Nederland, 1233–1733</w:t>
                      </w:r>
                      <w:r>
                        <w:rPr>
                          <w:b/>
                          <w:bCs/>
                          <w:sz w:val="22"/>
                          <w:szCs w:val="22"/>
                        </w:rPr>
                        <w:t>. (1995.</w:t>
                      </w:r>
                      <w:r>
                        <w:rPr>
                          <w:sz w:val="22"/>
                          <w:szCs w:val="22"/>
                        </w:rPr>
                        <w:t xml:space="preserve"> </w:t>
                      </w:r>
                      <w:r>
                        <w:rPr>
                          <w:i/>
                          <w:iCs/>
                          <w:sz w:val="22"/>
                          <w:szCs w:val="22"/>
                        </w:rPr>
                        <w:t>Gebruikt voor de eerste vermeldingen (1233, 1321, 1352), terminologie, en het fragmentarische bronlandschap.</w:t>
                      </w:r>
                      <w:r>
                        <w:rPr>
                          <w:sz w:val="22"/>
                          <w:szCs w:val="22"/>
                        </w:rPr>
                      </w:r>
                    </w:p>
                    <w:p>
                      <w:pPr>
                        <w:ind w:left="-142"/>
                        <w:spacing w:after="0"/>
                        <w:rPr>
                          <w:sz w:val="22"/>
                          <w:szCs w:val="22"/>
                        </w:rPr>
                      </w:pPr>
                      <w:r>
                        <w:rPr>
                          <w:b/>
                          <w:bCs/>
                          <w:sz w:val="22"/>
                          <w:szCs w:val="22"/>
                        </w:rPr>
                        <w:t xml:space="preserve">Van der Meer, Theo. </w:t>
                      </w:r>
                      <w:r>
                        <w:rPr>
                          <w:b/>
                          <w:bCs/>
                          <w:i/>
                          <w:iCs/>
                          <w:sz w:val="22"/>
                          <w:szCs w:val="22"/>
                        </w:rPr>
                        <w:t>Sodoms zaad in Nederland: Het ontstaan van homoseksualiteit in de vroegmoderne tijd</w:t>
                      </w:r>
                      <w:r>
                        <w:rPr>
                          <w:b/>
                          <w:bCs/>
                          <w:sz w:val="22"/>
                          <w:szCs w:val="22"/>
                        </w:rPr>
                        <w:t>. Nijmegen: SUN, 1995.</w:t>
                      </w:r>
                      <w:r>
                        <w:rPr>
                          <w:sz w:val="22"/>
                          <w:szCs w:val="22"/>
                        </w:rPr>
                        <w:t xml:space="preserve"> </w:t>
                      </w:r>
                    </w:p>
                    <w:p>
                      <w:pPr>
                        <w:ind w:left="-142"/>
                        <w:rPr>
                          <w:sz w:val="22"/>
                          <w:szCs w:val="22"/>
                        </w:rPr>
                      </w:pPr>
                      <w:r>
                        <w:rPr>
                          <w:i/>
                          <w:iCs/>
                          <w:sz w:val="22"/>
                          <w:szCs w:val="22"/>
                        </w:rPr>
                        <w:t xml:space="preserve">Gebruikt voor de zichtbaarheid van 1730 en de historiografische vertekening. </w:t>
                      </w:r>
                      <w:r>
                        <w:rPr>
                          <w:sz w:val="22"/>
                          <w:szCs w:val="22"/>
                        </w:rPr>
                      </w:r>
                    </w:p>
                    <w:p>
                      <w:pPr>
                        <w:ind w:left="-142"/>
                      </w:pPr>
                      <w:r/>
                    </w:p>
                    <w:p>
                      <w:pPr>
                        <w:ind w:left="-142"/>
                        <w:rPr>
                          <w:b/>
                          <w:bCs/>
                          <w:sz w:val="28"/>
                          <w:szCs w:val="28"/>
                        </w:rPr>
                      </w:pPr>
                      <w:r>
                        <w:rPr>
                          <w:b/>
                          <w:bCs/>
                          <w:sz w:val="28"/>
                          <w:szCs w:val="28"/>
                        </w:rPr>
                        <w:t>Aanbevolen literatuur voor verdieping</w:t>
                      </w:r>
                    </w:p>
                    <w:p>
                      <w:pPr>
                        <w:ind w:left="-142"/>
                        <w:spacing w:after="0"/>
                        <w:rPr>
                          <w:sz w:val="22"/>
                          <w:szCs w:val="22"/>
                        </w:rPr>
                      </w:pPr>
                      <w:r>
                        <w:rPr>
                          <w:b/>
                          <w:bCs/>
                          <w:sz w:val="22"/>
                          <w:szCs w:val="22"/>
                        </w:rPr>
                        <w:t xml:space="preserve">Hergemöller, Bernd-Ulrich. </w:t>
                      </w:r>
                      <w:r>
                        <w:rPr>
                          <w:b/>
                          <w:bCs/>
                          <w:i/>
                          <w:iCs/>
                          <w:sz w:val="22"/>
                          <w:szCs w:val="22"/>
                        </w:rPr>
                        <w:t>Randgruppen der spätmittelalterlichen Gesellschaft</w:t>
                      </w:r>
                      <w:r>
                        <w:rPr>
                          <w:b/>
                          <w:bCs/>
                          <w:sz w:val="22"/>
                          <w:szCs w:val="22"/>
                        </w:rPr>
                        <w:t>. Frankfurt am Main: Fahlbusch, 2001.</w:t>
                      </w:r>
                      <w:r>
                        <w:rPr>
                          <w:sz w:val="22"/>
                          <w:szCs w:val="22"/>
                        </w:rPr>
                        <w:t xml:space="preserve"> </w:t>
                      </w:r>
                    </w:p>
                    <w:p>
                      <w:pPr>
                        <w:ind w:left="-142"/>
                        <w:rPr>
                          <w:sz w:val="22"/>
                          <w:szCs w:val="22"/>
                        </w:rPr>
                      </w:pPr>
                      <w:r>
                        <w:rPr>
                          <w:i/>
                          <w:iCs/>
                          <w:sz w:val="22"/>
                          <w:szCs w:val="22"/>
                        </w:rPr>
                        <w:t>Voor Europese parallellen, vooral Duitse en Zuid-Nederlandse steden.</w:t>
                      </w:r>
                      <w:r>
                        <w:rPr>
                          <w:sz w:val="22"/>
                          <w:szCs w:val="22"/>
                        </w:rPr>
                      </w:r>
                    </w:p>
                    <w:p>
                      <w:pPr>
                        <w:ind w:left="-142"/>
                        <w:rPr>
                          <w:sz w:val="22"/>
                          <w:szCs w:val="22"/>
                          <w:lang w:val="en-us"/>
                        </w:rPr>
                      </w:pPr>
                      <w:r>
                        <w:rPr>
                          <w:b/>
                          <w:bCs/>
                          <w:sz w:val="22"/>
                          <w:szCs w:val="22"/>
                          <w:lang w:val="en-us"/>
                        </w:rPr>
                        <w:t xml:space="preserve">Jordan, Mark. </w:t>
                      </w:r>
                      <w:r>
                        <w:rPr>
                          <w:b/>
                          <w:bCs/>
                          <w:i/>
                          <w:iCs/>
                          <w:sz w:val="22"/>
                          <w:szCs w:val="22"/>
                          <w:lang w:val="en-us"/>
                        </w:rPr>
                        <w:t>The Invention of Sodomy in Christian Theology</w:t>
                      </w:r>
                      <w:r>
                        <w:rPr>
                          <w:b/>
                          <w:bCs/>
                          <w:sz w:val="22"/>
                          <w:szCs w:val="22"/>
                          <w:lang w:val="en-us"/>
                        </w:rPr>
                        <w:t>. Chicago: University of Chicago Press, 1997.</w:t>
                      </w:r>
                      <w:r>
                        <w:rPr>
                          <w:sz w:val="22"/>
                          <w:szCs w:val="22"/>
                          <w:lang w:val="en-us"/>
                        </w:rPr>
                        <w:t xml:space="preserve"> </w:t>
                      </w:r>
                      <w:r>
                        <w:rPr>
                          <w:i/>
                          <w:iCs/>
                          <w:sz w:val="22"/>
                          <w:szCs w:val="22"/>
                          <w:lang w:val="en-us"/>
                        </w:rPr>
                        <w:t>Voor scholastieke conceptualisering van sodomie.</w:t>
                      </w:r>
                      <w:r>
                        <w:rPr>
                          <w:sz w:val="22"/>
                          <w:szCs w:val="22"/>
                          <w:lang w:val="en-us"/>
                        </w:rPr>
                      </w:r>
                    </w:p>
                    <w:p>
                      <w:pPr>
                        <w:ind w:left="-142"/>
                        <w:spacing w:after="0"/>
                        <w:rPr>
                          <w:sz w:val="22"/>
                          <w:szCs w:val="22"/>
                          <w:lang w:val="en-us"/>
                        </w:rPr>
                      </w:pPr>
                      <w:r>
                        <w:rPr>
                          <w:b/>
                          <w:bCs/>
                          <w:sz w:val="22"/>
                          <w:szCs w:val="22"/>
                          <w:lang w:val="en-us"/>
                        </w:rPr>
                        <w:t xml:space="preserve">Malcolm, Noel. </w:t>
                      </w:r>
                      <w:r>
                        <w:rPr>
                          <w:b/>
                          <w:bCs/>
                          <w:i/>
                          <w:iCs/>
                          <w:sz w:val="22"/>
                          <w:szCs w:val="22"/>
                          <w:lang w:val="en-us"/>
                        </w:rPr>
                        <w:t>Sodomy in Early Modern Europe</w:t>
                      </w:r>
                      <w:r>
                        <w:rPr>
                          <w:b/>
                          <w:bCs/>
                          <w:sz w:val="22"/>
                          <w:szCs w:val="22"/>
                          <w:lang w:val="en-us"/>
                        </w:rPr>
                        <w:t>. London: Routledge, 1997.</w:t>
                      </w:r>
                      <w:r>
                        <w:rPr>
                          <w:sz w:val="22"/>
                          <w:szCs w:val="22"/>
                          <w:lang w:val="en-us"/>
                        </w:rPr>
                        <w:t xml:space="preserve"> </w:t>
                      </w:r>
                    </w:p>
                    <w:p>
                      <w:pPr>
                        <w:ind w:left="-142"/>
                        <w:rPr>
                          <w:sz w:val="22"/>
                          <w:szCs w:val="22"/>
                        </w:rPr>
                      </w:pPr>
                      <w:r>
                        <w:rPr>
                          <w:i/>
                          <w:iCs/>
                          <w:sz w:val="22"/>
                          <w:szCs w:val="22"/>
                        </w:rPr>
                        <w:t>Voor Europese vergelijkingen (Frankrijk, Engeland, Duitse gebieden).</w:t>
                      </w:r>
                      <w:r>
                        <w:rPr>
                          <w:sz w:val="22"/>
                          <w:szCs w:val="22"/>
                        </w:rPr>
                      </w:r>
                    </w:p>
                    <w:p>
                      <w:pPr>
                        <w:ind w:left="-142"/>
                        <w:spacing w:after="0"/>
                        <w:rPr>
                          <w:sz w:val="22"/>
                          <w:szCs w:val="22"/>
                        </w:rPr>
                      </w:pPr>
                      <w:r>
                        <w:rPr>
                          <w:b/>
                          <w:bCs/>
                          <w:sz w:val="22"/>
                          <w:szCs w:val="22"/>
                        </w:rPr>
                        <w:t>Roelens, Jonas. Diverse artikelen over sodomie in de Zuidelijke Nederlanden (2018–2024).</w:t>
                      </w:r>
                      <w:r>
                        <w:rPr>
                          <w:sz w:val="22"/>
                          <w:szCs w:val="22"/>
                        </w:rPr>
                        <w:t xml:space="preserve"> </w:t>
                      </w:r>
                    </w:p>
                    <w:p>
                      <w:pPr>
                        <w:ind w:left="-142"/>
                        <w:rPr>
                          <w:sz w:val="22"/>
                          <w:szCs w:val="22"/>
                        </w:rPr>
                      </w:pPr>
                      <w:r>
                        <w:rPr>
                          <w:i/>
                          <w:iCs/>
                          <w:sz w:val="22"/>
                          <w:szCs w:val="22"/>
                        </w:rPr>
                        <w:t>Voor regionale vergelijking met Vlaanderen en Brabant.</w:t>
                      </w:r>
                      <w:r>
                        <w:rPr>
                          <w:sz w:val="22"/>
                          <w:szCs w:val="22"/>
                        </w:rPr>
                      </w:r>
                    </w:p>
                    <w:p>
                      <w:pPr>
                        <w:ind w:left="-142"/>
                        <w:spacing w:after="0"/>
                        <w:rPr>
                          <w:sz w:val="22"/>
                          <w:szCs w:val="22"/>
                        </w:rPr>
                      </w:pPr>
                      <w:r>
                        <w:rPr>
                          <w:b/>
                          <w:bCs/>
                          <w:sz w:val="22"/>
                          <w:szCs w:val="22"/>
                          <w:lang w:val="en-us"/>
                        </w:rPr>
                        <w:t xml:space="preserve">Trumbach, Randolph. </w:t>
                      </w:r>
                      <w:r>
                        <w:rPr>
                          <w:b/>
                          <w:bCs/>
                          <w:i/>
                          <w:iCs/>
                          <w:sz w:val="22"/>
                          <w:szCs w:val="22"/>
                          <w:lang w:val="en-us"/>
                        </w:rPr>
                        <w:t>Sex and the Gender Revolution, Volume 1: Heterosexuality and the Third Gender in Enlightenment London</w:t>
                      </w:r>
                      <w:r>
                        <w:rPr>
                          <w:b/>
                          <w:bCs/>
                          <w:sz w:val="22"/>
                          <w:szCs w:val="22"/>
                          <w:lang w:val="en-us"/>
                        </w:rPr>
                        <w:t xml:space="preserve">. </w:t>
                      </w:r>
                      <w:r>
                        <w:rPr>
                          <w:b/>
                          <w:bCs/>
                          <w:sz w:val="22"/>
                          <w:szCs w:val="22"/>
                        </w:rPr>
                        <w:t>Chicago: University of Chicago Press, 1998.</w:t>
                      </w:r>
                      <w:r>
                        <w:rPr>
                          <w:sz w:val="22"/>
                          <w:szCs w:val="22"/>
                        </w:rPr>
                        <w:t xml:space="preserve"> </w:t>
                      </w:r>
                    </w:p>
                    <w:p>
                      <w:pPr>
                        <w:ind w:left="-142"/>
                        <w:rPr>
                          <w:sz w:val="22"/>
                          <w:szCs w:val="22"/>
                        </w:rPr>
                      </w:pPr>
                      <w:r>
                        <w:rPr>
                          <w:i/>
                          <w:iCs/>
                          <w:sz w:val="22"/>
                          <w:szCs w:val="22"/>
                        </w:rPr>
                        <w:t>Voor bredere context van vroegmoderne seksualiteitsregimes.</w:t>
                      </w:r>
                      <w:r>
                        <w:rPr>
                          <w:sz w:val="22"/>
                          <w:szCs w:val="22"/>
                        </w:rPr>
                      </w:r>
                    </w:p>
                    <w:p>
                      <w:pPr>
                        <w:ind w:left="-142"/>
                      </w:pPr>
                      <w:r/>
                    </w:p>
                  </w:txbxContent>
                </v:textbox>
              </v:rect>
            </w:pict>
          </mc:Fallback>
        </mc:AlternateContent>
      </w:r>
      <w:r>
        <w:rPr>
          <w:rFonts w:ascii="Calibri" w:hAnsi="Calibri"/>
          <w:szCs w:val="24"/>
        </w:rPr>
      </w:r>
    </w:p>
    <w:p>
      <w:pPr>
        <w:spacing w:after="240"/>
        <w:rPr>
          <w:rFonts w:ascii="Calibri" w:hAnsi="Calibri"/>
          <w:szCs w:val="24"/>
        </w:rPr>
      </w:pPr>
      <w:r>
        <w:rPr>
          <w:rFonts w:ascii="Calibri" w:hAnsi="Calibri"/>
          <w:szCs w:val="24"/>
        </w:rPr>
      </w:r>
    </w:p>
    <w:p>
      <w:pPr>
        <w:spacing w:after="240"/>
        <w:rPr>
          <w:rFonts w:ascii="Calibri" w:hAnsi="Calibri"/>
          <w:szCs w:val="24"/>
        </w:rPr>
      </w:pPr>
      <w:r>
        <w:rPr>
          <w:rFonts w:ascii="Calibri" w:hAnsi="Calibri"/>
          <w:szCs w:val="24"/>
        </w:rPr>
      </w:r>
    </w:p>
    <w:p>
      <w:pPr>
        <w:spacing w:after="240"/>
        <w:rPr>
          <w:rFonts w:ascii="Calibri" w:hAnsi="Calibri"/>
          <w:szCs w:val="24"/>
        </w:rPr>
      </w:pPr>
      <w:r>
        <w:rPr>
          <w:rFonts w:ascii="Calibri" w:hAnsi="Calibri"/>
          <w:szCs w:val="24"/>
        </w:rPr>
      </w:r>
    </w:p>
    <w:p>
      <w:pPr>
        <w:spacing w:after="240"/>
        <w:rPr>
          <w:rFonts w:ascii="Calibri" w:hAnsi="Calibri"/>
          <w:szCs w:val="24"/>
        </w:rPr>
      </w:pPr>
      <w:r>
        <w:rPr>
          <w:rFonts w:ascii="Calibri" w:hAnsi="Calibri"/>
          <w:szCs w:val="24"/>
        </w:rPr>
      </w:r>
    </w:p>
    <w:p>
      <w:pPr>
        <w:spacing w:after="240"/>
        <w:rPr>
          <w:rFonts w:ascii="Calibri" w:hAnsi="Calibri"/>
          <w:szCs w:val="24"/>
        </w:rPr>
      </w:pPr>
      <w:r>
        <w:rPr>
          <w:rFonts w:ascii="Calibri" w:hAnsi="Calibri"/>
          <w:szCs w:val="24"/>
        </w:rPr>
      </w:r>
    </w:p>
    <w:p>
      <w:pPr>
        <w:pStyle w:val="para1"/>
      </w:pPr>
      <w:r/>
      <w:bookmarkStart w:id="5" w:name="_Toc232185143"/>
      <w:r/>
    </w:p>
    <w:p>
      <w:pPr>
        <w:pStyle w:val="para1"/>
        <w:rPr>
          <w:rFonts w:ascii="Calibri" w:hAnsi="Calibri" w:eastAsia="Calibri" w:cs="Calibri"/>
          <w:szCs w:val="24"/>
        </w:rPr>
      </w:pPr>
      <w:r>
        <w:t>2. Bronnen voor onderzoek naar sodomievervolgingen</w:t>
      </w:r>
      <w:bookmarkEnd w:id="5"/>
      <w:r/>
      <w:r>
        <w:rPr>
          <w:rFonts w:ascii="Calibri" w:hAnsi="Calibri" w:eastAsia="Calibri" w:cs="Calibri"/>
          <w:szCs w:val="24"/>
        </w:rPr>
      </w:r>
    </w:p>
    <w:p>
      <w:pPr>
        <w:pStyle w:val="para2"/>
      </w:pPr>
      <w:bookmarkStart w:id="6" w:name="_Toc232185144"/>
      <w:r>
        <w:t>Inleiding</w:t>
      </w:r>
      <w:bookmarkEnd w:id="6"/>
      <w:r/>
    </w:p>
    <w:p>
      <w:r>
        <w:t>Onderzoek naar sodomie vóór 1730 maakt gebruik van uiteenlopende soorten bronnen, die elk vanuit hun eigen institutionele context zijn ontstaan en verschillende aspecten van verdenking, vervolging en normering zichtbaar maken. Geen enkele bronsoort biedt een volledig beeld; daarom is het belangrijk om per type bron te begrijpen wat het laat zien, wat het verhult en hoe het is overgeleverd. Dit hoofdstuk bespreekt vier hoofdtypen bronnen die voor de periode 1230–1729 relevant zijn, telkens volgens dezelfde structuur: aard van de bron, periode van bruikbaarheid, vindplaatsen, overlevering en beperkingen, interpretatiemogelijkheden, valkuilen en praktische tips.</w:t>
      </w:r>
    </w:p>
    <w:p>
      <w:r/>
    </w:p>
    <w:p>
      <w:pPr>
        <w:pStyle w:val="para2"/>
      </w:pPr>
      <w:bookmarkStart w:id="7" w:name="_Toc232185145"/>
      <w:r>
        <w:t>2.1 Straf- en processtukken</w:t>
      </w:r>
      <w:bookmarkEnd w:id="7"/>
      <w:r/>
    </w:p>
    <w:p>
      <w:pPr>
        <w:pStyle w:val="para4"/>
      </w:pPr>
      <w:r>
        <w:t>Wat is dit voor bron?</w:t>
      </w:r>
    </w:p>
    <w:p>
      <w:pPr>
        <w:rPr>
          <w:szCs w:val="24"/>
        </w:rPr>
      </w:pPr>
      <w:r>
        <w:rPr>
          <w:szCs w:val="24"/>
        </w:rPr>
        <w:t>Straf- en processtukken zijn documenten die zijn ontstaan in het kader van een formele strafrechtelijke vervolging. Het gaat daarbij om verhoren van verdachten en getuigen, bekentenissen, aanklachten, criminele sententies, vonnissen en aanverwante stukken die door lokale, stedelijke of gewestelijke rechtbanken zijn opgesteld. Hun primaire functie is het vastleggen en legitimeren van juridische besluitvorming. Deze bronnen documenteren de weg van verdenking naar oordeel, inclusief bewijsvoering, kwalificatie van het delict en vaststelling van de straf.</w:t>
      </w:r>
    </w:p>
    <w:p>
      <w:pPr>
        <w:rPr>
          <w:szCs w:val="24"/>
        </w:rPr>
      </w:pPr>
      <w:r>
        <w:rPr>
          <w:szCs w:val="24"/>
        </w:rPr>
        <w:t>In het geval van sodomievervolgingen vormen straf- en processtukken de meest expliciete broncategorie, omdat het vermeende misdrijf hier doorgaans bij naam wordt genoemd of herkenbaar wordt omschreven en juridisch wordt gekwalificeerd. Waar andere bronnen vaak slechts indirect of normatief naar sodomie verwijzen, maken processtukken zichtbaar hoe en onder welke voorwaarden sodomie daadwerkelijk tot vervolging leidde.</w:t>
      </w:r>
    </w:p>
    <w:p>
      <w:pPr>
        <w:pStyle w:val="para4"/>
      </w:pPr>
      <w:r>
        <w:t>Voor welke perioden is deze bron vooral bruikbaar?</w:t>
      </w:r>
    </w:p>
    <w:p>
      <w:pPr>
        <w:rPr>
          <w:szCs w:val="24"/>
        </w:rPr>
      </w:pPr>
      <w:r>
        <w:rPr>
          <w:szCs w:val="24"/>
        </w:rPr>
        <w:t>Voor de Noordelijke Nederlanden zijn straf- en processtukken met betrekking tot sodomie vooral beschikbaar vanaf de late middeleeuwen, wanneer gerechtelijke administratie systematischer wordt vastgelegd. Voor de periode vóór 1500 zijn dergelijke stukken schaars en fragmentarisch, sodomie verschijnt dan eerder in kronieken, normatieve/moraliserende teksten en soms in kleine vermeldingen in stadrekeningen of baljuwsrekeningen. Vanaf de zestiende eeuw neemt de kans toe dat verhoren, vonnissen en criminele sententies zijn overgeleverd, al blijft de dekking ongelijk per regio en per rechtbank.</w:t>
      </w:r>
    </w:p>
    <w:p>
      <w:pPr>
        <w:rPr>
          <w:szCs w:val="24"/>
        </w:rPr>
      </w:pPr>
      <w:r>
        <w:rPr>
          <w:szCs w:val="24"/>
        </w:rPr>
        <w:t>Binnen de afbakening van deze gids (tot 1729) zijn straf- en processtukken vooral belangrijk omdat zij inzicht bieden in individuele vervolgingen vóór de grootschalige vervolgingsgolf van 1730. Juist deze oudere dossiers maken het mogelijk om minder bekende, kleinschalige zaken te reconstrueren en te laten zien dat sodomie al eerder vervolgd werd, ook al is de documentatie veel minder overvloedig dan in de achttiende eeuw.</w:t>
      </w:r>
    </w:p>
    <w:p>
      <w:pPr>
        <w:pStyle w:val="para4"/>
      </w:pPr>
      <w:r>
        <w:t xml:space="preserve">Waar te vinden? </w:t>
      </w:r>
    </w:p>
    <w:p>
      <w:pPr>
        <w:rPr>
          <w:szCs w:val="24"/>
        </w:rPr>
      </w:pPr>
      <w:r>
        <w:rPr>
          <w:szCs w:val="24"/>
        </w:rPr>
        <w:t>Straf- en processtukken bevinden zich verspreid over nationale, gewestelijke en stedelijke archieven. Belangrijke vindplaatsen zijn onder meer:</w:t>
      </w:r>
    </w:p>
    <w:p>
      <w:pPr>
        <w:pStyle w:val="para13"/>
        <w:numPr>
          <w:ilvl w:val="0"/>
          <w:numId w:val="17"/>
        </w:numPr>
        <w:ind w:left="720" w:hanging="360"/>
        <w:rPr>
          <w:b/>
          <w:bCs/>
          <w:szCs w:val="24"/>
        </w:rPr>
      </w:pPr>
      <w:r>
        <w:rPr>
          <w:b/>
          <w:bCs/>
          <w:szCs w:val="24"/>
        </w:rPr>
        <w:t>Nationaal Archief (Den Haag)</w:t>
      </w:r>
    </w:p>
    <w:p>
      <w:pPr>
        <w:pStyle w:val="para13"/>
        <w:numPr>
          <w:ilvl w:val="1"/>
          <w:numId w:val="3"/>
        </w:numPr>
        <w:ind w:left="1440" w:hanging="360"/>
        <w:spacing w:after="0"/>
        <w:rPr>
          <w:szCs w:val="24"/>
        </w:rPr>
      </w:pPr>
      <w:r>
        <w:rPr>
          <w:i/>
          <w:iCs/>
          <w:szCs w:val="24"/>
        </w:rPr>
        <w:t>Archief van het Hof van Holland, 1428–1811</w:t>
      </w:r>
      <w:r>
        <w:rPr>
          <w:szCs w:val="24"/>
        </w:rPr>
        <w:t>. Toegang 3.03.01.01. Sententies en vonnissen van het Hof van Holland, waarin ook vóór 1700 sodomiezaken voorkomen.</w:t>
      </w:r>
    </w:p>
    <w:p>
      <w:pPr>
        <w:numPr>
          <w:ilvl w:val="1"/>
          <w:numId w:val="3"/>
        </w:numPr>
        <w:ind w:left="1440" w:hanging="360"/>
        <w:rPr>
          <w:szCs w:val="24"/>
        </w:rPr>
      </w:pPr>
      <w:r>
        <w:rPr>
          <w:i/>
          <w:iCs/>
          <w:szCs w:val="24"/>
        </w:rPr>
        <w:t>Archief van de Verenigde Oost-Indische Compagnie (VOC), 1602–1795 (1811)</w:t>
      </w:r>
      <w:r>
        <w:rPr>
          <w:szCs w:val="24"/>
        </w:rPr>
        <w:t xml:space="preserve">. Toegang 1.04.02. Gaat niet over zaken die zich aan land afspeelde in de Noordelijke Nederlanden maar bevat meerdere zaken die zich elders aan boord of aan land afspeelden. </w:t>
      </w:r>
    </w:p>
    <w:p>
      <w:pPr>
        <w:numPr>
          <w:ilvl w:val="0"/>
          <w:numId w:val="17"/>
        </w:numPr>
        <w:ind w:left="720" w:hanging="360"/>
        <w:rPr>
          <w:szCs w:val="24"/>
        </w:rPr>
      </w:pPr>
      <w:r>
        <w:rPr>
          <w:b/>
          <w:bCs/>
          <w:szCs w:val="24"/>
        </w:rPr>
        <w:t>Noord-Hollands Archief:</w:t>
      </w:r>
      <w:r>
        <w:rPr>
          <w:szCs w:val="24"/>
        </w:rPr>
        <w:t xml:space="preserve"> heeft o.a. het Oud rechterlijk archief (ORA) van Haarlem, waar enkele stukken betreffende sodomie gedigitaliseerd te vinden zijn. Zie: </w:t>
      </w:r>
      <w:hyperlink r:id="rId9" w:history="1">
        <w:r>
          <w:rPr>
            <w:rStyle w:val="char26"/>
            <w:szCs w:val="24"/>
          </w:rPr>
          <w:t>Noord</w:t>
        </w:r>
        <w:r>
          <w:rPr>
            <w:rStyle w:val="char26"/>
            <w:szCs w:val="24"/>
          </w:rPr>
          <w:noBreakHyphen/>
          <w:t xml:space="preserve">Hollands Archief, Oud Rechterlijk Archief Haarlem, toegang 3111, </w:t>
        </w:r>
        <w:r>
          <w:rPr>
            <w:rStyle w:val="char26"/>
            <w:szCs w:val="24"/>
          </w:rPr>
          <w:t>inv.nrs</w:t>
        </w:r>
        <w:r>
          <w:rPr>
            <w:rStyle w:val="char26"/>
            <w:szCs w:val="24"/>
          </w:rPr>
          <w:t>. 241–244.</w:t>
        </w:r>
      </w:hyperlink>
    </w:p>
    <w:p>
      <w:pPr>
        <w:numPr>
          <w:ilvl w:val="0"/>
          <w:numId w:val="17"/>
        </w:numPr>
        <w:ind w:left="720" w:hanging="360"/>
        <w:rPr>
          <w:szCs w:val="24"/>
        </w:rPr>
      </w:pPr>
      <w:r>
        <w:rPr>
          <w:b/>
          <w:bCs/>
          <w:szCs w:val="24"/>
        </w:rPr>
        <w:t>Erfgoed Leiden en Omstreken:</w:t>
      </w:r>
      <w:r>
        <w:rPr>
          <w:szCs w:val="24"/>
        </w:rPr>
        <w:t xml:space="preserve"> heeft ook enkele confessieboeken waaronder: </w:t>
      </w:r>
      <w:hyperlink r:id="rId10" w:history="1">
        <w:r>
          <w:rPr>
            <w:rStyle w:val="char26"/>
            <w:i/>
            <w:iCs/>
            <w:szCs w:val="24"/>
          </w:rPr>
          <w:t>Archief van de Schepenbank Leiden (1370–1811)</w:t>
        </w:r>
        <w:r>
          <w:rPr>
            <w:rStyle w:val="char26"/>
            <w:szCs w:val="24"/>
          </w:rPr>
          <w:t xml:space="preserve">. Toegang 0508. </w:t>
        </w:r>
        <w:r>
          <w:rPr>
            <w:rStyle w:val="char26"/>
            <w:szCs w:val="24"/>
          </w:rPr>
          <w:t>Inv.nrs</w:t>
        </w:r>
        <w:r>
          <w:rPr>
            <w:rStyle w:val="char26"/>
            <w:szCs w:val="24"/>
          </w:rPr>
          <w:t>. 7A–7C: “Secreet crimineel klacht- en confessieboek”, criminele rollen inzake misdrijven tegen de zeden, 1730–1805.</w:t>
        </w:r>
      </w:hyperlink>
      <w:r>
        <w:rPr>
          <w:i/>
          <w:iCs/>
          <w:szCs w:val="24"/>
        </w:rPr>
        <w:t xml:space="preserve"> </w:t>
      </w:r>
      <w:r>
        <w:rPr>
          <w:szCs w:val="24"/>
        </w:rPr>
        <w:t>Dit confessieboek is ook (deels) ingescand en dus dig</w:t>
      </w:r>
      <w:r>
        <w:rPr>
          <w:szCs w:val="24"/>
        </w:rPr>
        <w:t xml:space="preserve">itaal toegankelijk. </w:t>
      </w:r>
      <w:r>
        <w:rPr>
          <w:szCs w:val="24"/>
        </w:rPr>
      </w:r>
    </w:p>
    <w:p>
      <w:pPr>
        <w:numPr>
          <w:ilvl w:val="0"/>
          <w:numId w:val="17"/>
        </w:numPr>
        <w:ind w:left="720" w:hanging="360"/>
        <w:rPr>
          <w:szCs w:val="24"/>
        </w:rPr>
      </w:pPr>
      <w:r>
        <w:rPr>
          <w:b/>
          <w:bCs/>
          <w:szCs w:val="24"/>
        </w:rPr>
        <w:t>Stadsarchief Amsterdam:</w:t>
      </w:r>
      <w:r>
        <w:rPr>
          <w:szCs w:val="24"/>
        </w:rPr>
        <w:t xml:space="preserve"> heeft veel confessieboeken, criminele sententies, resoluties. Veel hiervan zijn ook gescand en gedigitaliseerd en dus makkelijk te gebruiken voor onderzoek. Zie bijvoorbeeld de </w:t>
      </w:r>
      <w:hyperlink r:id="rId11" w:history="1">
        <w:r>
          <w:rPr>
            <w:rStyle w:val="char26"/>
            <w:szCs w:val="24"/>
          </w:rPr>
          <w:t>S</w:t>
        </w:r>
        <w:r>
          <w:rPr>
            <w:rStyle w:val="char26"/>
            <w:szCs w:val="24"/>
          </w:rPr>
          <w:t>ecrete</w:t>
        </w:r>
        <w:r>
          <w:rPr>
            <w:rStyle w:val="char26"/>
            <w:szCs w:val="24"/>
          </w:rPr>
          <w:t xml:space="preserve"> confessiebo</w:t>
        </w:r>
        <w:r>
          <w:rPr>
            <w:rStyle w:val="char26"/>
            <w:szCs w:val="24"/>
          </w:rPr>
          <w:t>e</w:t>
        </w:r>
        <w:r>
          <w:rPr>
            <w:rStyle w:val="char26"/>
            <w:szCs w:val="24"/>
          </w:rPr>
          <w:t xml:space="preserve">ken </w:t>
        </w:r>
        <w:r>
          <w:rPr>
            <w:rStyle w:val="char26"/>
            <w:szCs w:val="24"/>
          </w:rPr>
          <w:t>van 1610-1810</w:t>
        </w:r>
      </w:hyperlink>
      <w:r>
        <w:rPr>
          <w:szCs w:val="24"/>
        </w:rPr>
        <w:t xml:space="preserve"> die beschikbaar zijn in </w:t>
      </w:r>
      <w:r>
        <w:rPr>
          <w:szCs w:val="24"/>
        </w:rPr>
        <w:t>de Archieven van de Schout en Schepenen (</w:t>
      </w:r>
      <w:r>
        <w:rPr>
          <w:szCs w:val="24"/>
        </w:rPr>
        <w:t xml:space="preserve">nr. 5061). </w:t>
      </w:r>
      <w:r>
        <w:rPr>
          <w:szCs w:val="24"/>
        </w:rPr>
      </w:r>
    </w:p>
    <w:p>
      <w:pPr>
        <w:pStyle w:val="para4"/>
      </w:pPr>
      <w:r>
        <w:t>Hoe is de bron overgeleverd en welke beperkingen brengt dat met zich mee?</w:t>
      </w:r>
    </w:p>
    <w:p>
      <w:pPr>
        <w:rPr>
          <w:szCs w:val="24"/>
        </w:rPr>
      </w:pPr>
      <w:r>
        <w:rPr>
          <w:szCs w:val="24"/>
        </w:rPr>
        <w:t>De bruikbaarheid van straf- en processtukken wordt verder beïnvloed door de institutionele veranderingen in de rechtspraak tussen 1230 en 1729. De bevoegdheid om strafzaken te behandelen lag niet altijd bij dezelfde actoren en verschilde per gewest, stad en periode. Hierdoor zijn processtukken niet alleen inhoudelijk, maar ook archivistisch gefragmenteerd.</w:t>
      </w:r>
    </w:p>
    <w:p>
      <w:pPr>
        <w:rPr>
          <w:szCs w:val="24"/>
        </w:rPr>
      </w:pPr>
      <w:r>
        <w:rPr>
          <w:szCs w:val="24"/>
        </w:rPr>
        <w:t>Sommige sodomiezaken werden behandeld door lokale of stedelijke rechtbanken, andere zaken vielen onder de jurisdictie van hogere instanties, zoals het Hof van Holland of het Hof van Utrecht. Wanneer een zaak door een hoger gerechtshof werd behandeld, is het vaak moeilijk vast te stellen waar het delict precies heeft plaatsgevonden, omdat de dossiers zijn geordend naar de behandelende instantie en niet naar de plaats van herkomst.</w:t>
      </w:r>
    </w:p>
    <w:p>
      <w:pPr>
        <w:rPr>
          <w:szCs w:val="24"/>
        </w:rPr>
      </w:pPr>
      <w:r>
        <w:rPr>
          <w:szCs w:val="24"/>
        </w:rPr>
        <w:t>Daarnaast is de materiële vorm van de bronnen een belangrijke factor. Het merendeel van de vroegmoderne processtukken is geschreven in oudnederlands cursief, gothisch cursief of bijvoorbeeld secretariehandschrift dat voor veel onderzoekers moeilijk leesbaar is. De kwaliteit van de overlevering varieert sterk. Sommige reeksen zijn zorgvuldig genoteerd, maar andere, vooral de secrete confessieboeken, zijn slordig, haastig of fragmentarisch geschreven. Deze confessieboeken fungeerden vaak als interne werkdocumenten voor magistraten en bevatten daarom korte, schetsmatige aantekeningen die niet bedoeld waren voor externe lezers.</w:t>
      </w:r>
    </w:p>
    <w:p>
      <w:pPr>
        <w:rPr>
          <w:szCs w:val="24"/>
        </w:rPr>
      </w:pPr>
      <w:r>
        <w:rPr>
          <w:szCs w:val="24"/>
        </w:rPr>
        <w:t>Daar komt bij dat niet alle processtukken zijn gescand of gecategoriseerd waardoor ze moeilijk doorzoekbaar kunnen zijn. Veel van de hierboven genoemde archieven beschikken wel over indexen op namen of trefwoorden, maar deze indexen zijn afhankelijk van de termen die de archivaris heeft gekozen. Een praktische strategie is om namen uit indexen (in combinatie met jaartallen) te gebruiken om vervolgens gericht te zoeken in omvangrijke procesreeksen of confessieboeken. Dit is vaak de enige manier om individuele zaken terug te vinden in grote, ongestructureerde archiefbestanden.</w:t>
      </w:r>
    </w:p>
    <w:p>
      <w:pPr>
        <w:rPr>
          <w:szCs w:val="24"/>
        </w:rPr>
      </w:pPr>
      <w:r>
        <w:rPr>
          <w:szCs w:val="24"/>
        </w:rPr>
        <w:t xml:space="preserve">Deze methode heeft echter een belangrijke beperking, het maakt onderzoekers afhankelijk van expliciete vermeldingen van sodomie of verwante termen in de index. Zaken waarin sodomie wel een rol speelde, maar niet expliciet werd benoemd, bijvoorbeeld wanneer het delict werd omschreven als </w:t>
      </w:r>
      <w:r>
        <w:rPr>
          <w:i/>
          <w:iCs/>
          <w:szCs w:val="24"/>
        </w:rPr>
        <w:t>onreine werken</w:t>
      </w:r>
      <w:r>
        <w:rPr>
          <w:szCs w:val="24"/>
        </w:rPr>
        <w:t xml:space="preserve">, </w:t>
      </w:r>
      <w:r>
        <w:rPr>
          <w:i/>
          <w:iCs/>
          <w:szCs w:val="24"/>
        </w:rPr>
        <w:t>vuyle zonde</w:t>
      </w:r>
      <w:r>
        <w:rPr>
          <w:szCs w:val="24"/>
        </w:rPr>
        <w:t xml:space="preserve">, </w:t>
      </w:r>
      <w:r>
        <w:rPr>
          <w:i/>
          <w:iCs/>
          <w:szCs w:val="24"/>
        </w:rPr>
        <w:t>ontierlijker quaethey</w:t>
      </w:r>
      <w:r>
        <w:rPr>
          <w:szCs w:val="24"/>
        </w:rPr>
        <w:t xml:space="preserve"> of </w:t>
      </w:r>
      <w:r>
        <w:rPr>
          <w:i/>
          <w:iCs/>
          <w:szCs w:val="24"/>
        </w:rPr>
        <w:t>tegen de natuur</w:t>
      </w:r>
      <w:r>
        <w:rPr>
          <w:szCs w:val="24"/>
        </w:rPr>
        <w:t>,</w:t>
      </w:r>
      <w:r>
        <w:rPr>
          <w:szCs w:val="24"/>
        </w:rPr>
        <w:t xml:space="preserve"> blijven dan</w:t>
      </w:r>
      <w:r>
        <w:rPr>
          <w:szCs w:val="24"/>
        </w:rPr>
        <w:t xml:space="preserve"> snel</w:t>
      </w:r>
      <w:r>
        <w:rPr>
          <w:szCs w:val="24"/>
        </w:rPr>
        <w:t xml:space="preserve"> onzichtbaar. Hierdoor ontstaat een structurele </w:t>
      </w:r>
      <w:r>
        <w:rPr>
          <w:szCs w:val="24"/>
        </w:rPr>
        <w:t>onderrepresentatie</w:t>
      </w:r>
      <w:r>
        <w:rPr>
          <w:szCs w:val="24"/>
        </w:rPr>
        <w:t xml:space="preserve"> van impliciet geformuleerde zaken.</w:t>
      </w:r>
      <w:r>
        <w:rPr>
          <w:szCs w:val="24"/>
        </w:rPr>
        <w:t xml:space="preserve"> </w:t>
      </w:r>
      <w:r>
        <w:rPr>
          <w:szCs w:val="24"/>
        </w:rPr>
        <w:t xml:space="preserve">Digitale collecties bieden nieuwe mogelijkheden, maar ook beperkingen: scans zijn niet altijd volledig, transcripties zijn selectief en zoekfuncties vinden alleen expliciet genoemde termen. Zaken waarin sodomie eufemistisch wordt omschreven blijven daardoor vaak </w:t>
      </w:r>
      <w:r>
        <w:rPr>
          <w:szCs w:val="24"/>
        </w:rPr>
        <w:t xml:space="preserve">alsnog </w:t>
      </w:r>
      <w:r>
        <w:rPr>
          <w:szCs w:val="24"/>
        </w:rPr>
        <w:t>onzichtbaar.</w:t>
      </w:r>
      <w:r>
        <w:rPr>
          <w:szCs w:val="24"/>
        </w:rPr>
      </w:r>
    </w:p>
    <w:p>
      <w:pPr>
        <w:rPr>
          <w:szCs w:val="24"/>
        </w:rPr>
      </w:pPr>
      <w:r>
        <w:rPr>
          <w:szCs w:val="24"/>
        </w:rPr>
      </w:r>
    </w:p>
    <w:p>
      <w:pPr>
        <w:pStyle w:val="para4"/>
      </w:pPr>
      <w:r>
        <w:t>Wat laat de bron zien?</w:t>
      </w:r>
    </w:p>
    <w:p>
      <w:pPr>
        <w:rPr>
          <w:szCs w:val="24"/>
        </w:rPr>
      </w:pPr>
      <w:r>
        <w:rPr>
          <w:szCs w:val="24"/>
        </w:rPr>
        <w:t>Straf- en processtukken laten in de eerste plaats zien hoe sodomie juridisch werd gedefinieerd en vervolgd. Zij maken zichtbaar:</w:t>
      </w:r>
    </w:p>
    <w:p>
      <w:pPr>
        <w:numPr>
          <w:ilvl w:val="0"/>
          <w:numId w:val="6"/>
        </w:numPr>
        <w:ind w:left="720" w:hanging="360"/>
        <w:spacing w:after="0"/>
        <w:rPr>
          <w:szCs w:val="24"/>
        </w:rPr>
      </w:pPr>
      <w:r>
        <w:rPr>
          <w:szCs w:val="24"/>
        </w:rPr>
        <w:t>Welke gedragingen als sodomie of als ‘tegen de natuur’ werden gekwalificeerd;</w:t>
      </w:r>
    </w:p>
    <w:p>
      <w:pPr>
        <w:numPr>
          <w:ilvl w:val="0"/>
          <w:numId w:val="6"/>
        </w:numPr>
        <w:ind w:left="720" w:hanging="360"/>
        <w:spacing w:after="0"/>
        <w:rPr>
          <w:szCs w:val="24"/>
        </w:rPr>
      </w:pPr>
      <w:r>
        <w:rPr>
          <w:szCs w:val="24"/>
        </w:rPr>
        <w:t>Welke bewijsstukken en getuigenissen als overtuigend golden;</w:t>
      </w:r>
    </w:p>
    <w:p>
      <w:pPr>
        <w:numPr>
          <w:ilvl w:val="0"/>
          <w:numId w:val="6"/>
        </w:numPr>
        <w:ind w:left="720" w:hanging="360"/>
        <w:spacing w:after="0"/>
        <w:rPr>
          <w:szCs w:val="24"/>
        </w:rPr>
      </w:pPr>
      <w:r>
        <w:rPr>
          <w:szCs w:val="24"/>
        </w:rPr>
        <w:t>Hoe schuld werd geconstrueerd binnen het strafproces;</w:t>
      </w:r>
    </w:p>
    <w:p>
      <w:pPr>
        <w:numPr>
          <w:ilvl w:val="0"/>
          <w:numId w:val="6"/>
        </w:numPr>
        <w:ind w:left="720" w:hanging="360"/>
        <w:rPr>
          <w:szCs w:val="24"/>
        </w:rPr>
      </w:pPr>
      <w:r>
        <w:rPr>
          <w:szCs w:val="24"/>
        </w:rPr>
        <w:t>Hoe rechtbanken omgingen met herhaling, ontkenning, ontvluchting of berouw.</w:t>
      </w:r>
    </w:p>
    <w:p>
      <w:pPr>
        <w:rPr>
          <w:szCs w:val="24"/>
        </w:rPr>
      </w:pPr>
      <w:r>
        <w:rPr>
          <w:szCs w:val="24"/>
        </w:rPr>
        <w:t>Verhoren en bekentenissen geven inzicht in de juridische logica van vervolging. Ze laten zien welke vragen werden gesteld, welke narratieven werden geloofwaardig geacht, en hoe verdachten hun handelen probeerden te verklaren of te minimaliseren. Getuigenverhoren kunnen daarnaast inzicht geven in sociale praktijken, omgangsvormen en geruchten die buiten het formele proces om circuleerden, mits ze kritisch worden gelezen. Vonnissen en criminele sententies tonen vervolgens de uitkomst van dit proces zoals de juridische kwalificatie van het delict, de strafmaat en eventuele verwijzingen naar verzachtende of verzwarende omstandigheden.</w:t>
      </w:r>
    </w:p>
    <w:p>
      <w:pPr>
        <w:pStyle w:val="para4"/>
      </w:pPr>
      <w:r>
        <w:t>Wat laat de bron niet zien?</w:t>
      </w:r>
    </w:p>
    <w:p>
      <w:pPr>
        <w:rPr>
          <w:szCs w:val="24"/>
        </w:rPr>
      </w:pPr>
      <w:r>
        <w:rPr>
          <w:szCs w:val="24"/>
        </w:rPr>
        <w:t>Straf- en processtukken zijn sterk beperkt en gefilterd. Zij bieden geen directe toegang tot de persoonlijke beleving van verdachten, getuigen of aanklagers, noch tot de bredere sociale dynamieken die aan een vervolging voorafgingen. De taal van het dossier is primair procedureel en bewijsgericht. Wat wordt vastgelegd krijgt vorm binnen juridische categorieën (bewijs, schuld, strafmaat, verzachtende omstandigheden) en binnen de conventies van verhoor, getuigenis en schriftelijke registratie.</w:t>
      </w:r>
    </w:p>
    <w:p>
      <w:pPr>
        <w:rPr>
          <w:szCs w:val="24"/>
        </w:rPr>
      </w:pPr>
      <w:r>
        <w:rPr>
          <w:szCs w:val="24"/>
        </w:rPr>
        <w:t>Emoties verschijnen in deze bronnen vaak in een functionele gedaante. Schaamte, berouw, angst of morele verontwaardiging worden doorgaans alleen zichtbaar wanneer zij procesmatig bruikbaar zijn, bijvoorbeeld als onderdeel van een schuldbekentenis of een strategie om geloofwaardigheid te winnen.</w:t>
      </w:r>
    </w:p>
    <w:p>
      <w:pPr>
        <w:rPr>
          <w:szCs w:val="24"/>
        </w:rPr>
      </w:pPr>
      <w:r>
        <w:rPr>
          <w:szCs w:val="24"/>
        </w:rPr>
        <w:t>Daarnaast blijven informele vormen van sociale regulering meestal buiten beeld. Geruchten, reputaties en lokale omgangsvormen rond verdenking komen slechts fragmentarisch in het dossier terecht, en meestal pas wanneer betrokkenen ze expliciet inbrengen of wanneer autoriteiten ze relevant achten.</w:t>
      </w:r>
    </w:p>
    <w:p>
      <w:pPr>
        <w:rPr>
          <w:szCs w:val="24"/>
        </w:rPr>
      </w:pPr>
      <w:r>
        <w:rPr>
          <w:szCs w:val="24"/>
        </w:rPr>
        <w:t>Ten slotte zijn straf- en processtukken structureel selectief. Zij documenteren vooral die gevallen die door autoriteiten zijn opgepakt en tot een procedure hebben geleid, terwijl een onbekend aantal verdenkingen nooit tot vervolging kwam of buiten de bewaard gebleven reeksen is geraakt. Afwezigheid in de bron is dus niet zonder meer afwezigheid in de praktijk.</w:t>
      </w:r>
    </w:p>
    <w:p>
      <w:pPr>
        <w:pStyle w:val="para4"/>
      </w:pPr>
      <w:r>
        <w:t>Veelvoorkomende valkuilen</w:t>
      </w:r>
    </w:p>
    <w:p>
      <w:pPr>
        <w:pStyle w:val="para13"/>
        <w:numPr>
          <w:ilvl w:val="0"/>
          <w:numId w:val="6"/>
        </w:numPr>
        <w:ind w:left="720" w:hanging="360"/>
        <w:rPr>
          <w:szCs w:val="24"/>
        </w:rPr>
      </w:pPr>
      <w:r>
        <w:rPr>
          <w:szCs w:val="24"/>
        </w:rPr>
        <w:t>Bekentenissen en emotionele uitingen lezen als transparante of vrijwillige verklaringen.</w:t>
      </w:r>
    </w:p>
    <w:p>
      <w:pPr>
        <w:pStyle w:val="para13"/>
        <w:numPr>
          <w:ilvl w:val="0"/>
          <w:numId w:val="6"/>
        </w:numPr>
        <w:ind w:left="720" w:hanging="360"/>
        <w:rPr>
          <w:szCs w:val="24"/>
        </w:rPr>
      </w:pPr>
      <w:r>
        <w:rPr>
          <w:szCs w:val="24"/>
        </w:rPr>
        <w:t>Processtukken gebruiken zonder ze te contextualiseren binnen hun institutionele en archiefhistorische context.</w:t>
      </w:r>
    </w:p>
    <w:p>
      <w:pPr>
        <w:pStyle w:val="para13"/>
        <w:numPr>
          <w:ilvl w:val="0"/>
          <w:numId w:val="6"/>
        </w:numPr>
        <w:ind w:left="720" w:hanging="360"/>
        <w:rPr>
          <w:szCs w:val="24"/>
        </w:rPr>
      </w:pPr>
      <w:r>
        <w:rPr>
          <w:szCs w:val="24"/>
        </w:rPr>
        <w:t>Te veel vertrouwen op indexen, waardoor zaken waarin sodomie niet expliciet benoemd wordt, onzichtbaar blijven.</w:t>
      </w:r>
    </w:p>
    <w:p>
      <w:pPr>
        <w:pStyle w:val="para13"/>
        <w:numPr>
          <w:ilvl w:val="0"/>
          <w:numId w:val="6"/>
        </w:numPr>
        <w:ind w:left="720" w:hanging="360"/>
        <w:rPr>
          <w:szCs w:val="24"/>
        </w:rPr>
      </w:pPr>
      <w:r>
        <w:rPr>
          <w:szCs w:val="24"/>
        </w:rPr>
        <w:t>Processtukken isoleren van andere bronsoorten, waardoor de sociale context van verdenking en vervolging uit beeld raakt.</w:t>
      </w:r>
    </w:p>
    <w:p>
      <w:pPr>
        <w:pStyle w:val="para4"/>
      </w:pPr>
      <w:r>
        <w:t>Praktische tips voor gebruik</w:t>
      </w:r>
    </w:p>
    <w:p>
      <w:pPr>
        <w:numPr>
          <w:ilvl w:val="0"/>
          <w:numId w:val="25"/>
        </w:numPr>
        <w:ind w:left="720" w:hanging="360"/>
        <w:spacing w:after="0"/>
        <w:rPr>
          <w:szCs w:val="24"/>
        </w:rPr>
      </w:pPr>
      <w:r>
        <w:rPr>
          <w:b/>
          <w:bCs/>
          <w:szCs w:val="24"/>
        </w:rPr>
        <w:t>Begin met confessieboeken en criminele vonnisreeksen</w:t>
      </w:r>
      <w:r>
        <w:rPr>
          <w:szCs w:val="24"/>
        </w:rPr>
        <w:t xml:space="preserve"> in stedelijke archieven (zoals Leiden, Amsterdam, Haarlem), omdat deze vaak de meest directe vermeldingen van sodomie bevatten en deels gedigitaliseerd beschikbaar zijn.</w:t>
      </w:r>
    </w:p>
    <w:p>
      <w:pPr>
        <w:numPr>
          <w:ilvl w:val="0"/>
          <w:numId w:val="25"/>
        </w:numPr>
        <w:ind w:left="720" w:hanging="360"/>
        <w:spacing w:after="0"/>
        <w:rPr>
          <w:szCs w:val="24"/>
        </w:rPr>
      </w:pPr>
      <w:r>
        <w:rPr>
          <w:b/>
          <w:bCs/>
          <w:szCs w:val="24"/>
        </w:rPr>
        <w:t>Gebruik indexen en digitale inventarissen</w:t>
      </w:r>
      <w:r>
        <w:rPr>
          <w:szCs w:val="24"/>
        </w:rPr>
        <w:t xml:space="preserve"> van het Nationaal Archief, Noord</w:t>
      </w:r>
      <w:r>
        <w:rPr>
          <w:rFonts w:ascii="Cambria Math" w:hAnsi="Cambria Math" w:cs="Cambria Math"/>
          <w:szCs w:val="24"/>
        </w:rPr>
        <w:noBreakHyphen/>
      </w:r>
      <w:r>
        <w:rPr>
          <w:szCs w:val="24"/>
        </w:rPr>
        <w:t>Hollands Archief, Utrechts Archief en Stadsarchief Amsterdam om namen, jaartallen en inventarisnummers te vinden, maar controleer altijd de scans of originelen omdat indexen selectief zijn.</w:t>
      </w:r>
    </w:p>
    <w:p>
      <w:pPr>
        <w:numPr>
          <w:ilvl w:val="0"/>
          <w:numId w:val="25"/>
        </w:numPr>
        <w:ind w:left="720" w:hanging="360"/>
        <w:spacing w:after="0"/>
        <w:rPr>
          <w:szCs w:val="24"/>
        </w:rPr>
      </w:pPr>
      <w:r>
        <w:rPr>
          <w:b/>
          <w:bCs/>
          <w:szCs w:val="24"/>
        </w:rPr>
        <w:t>Combineer processtukken met administratieve bronnen</w:t>
      </w:r>
      <w:r>
        <w:rPr>
          <w:szCs w:val="24"/>
        </w:rPr>
        <w:t xml:space="preserve"> zoals stadsrekeningen, baljuwsrekeningen en boeteregisters om lacunes op te vullen en kostenposten, arrestaties of executies te traceren die niet in confessieboeken of sententies voorkomen.</w:t>
      </w:r>
    </w:p>
    <w:p>
      <w:pPr>
        <w:numPr>
          <w:ilvl w:val="0"/>
          <w:numId w:val="25"/>
        </w:numPr>
        <w:ind w:left="720" w:hanging="360"/>
        <w:spacing w:after="0"/>
        <w:rPr>
          <w:szCs w:val="24"/>
        </w:rPr>
      </w:pPr>
      <w:r>
        <w:rPr>
          <w:b/>
          <w:bCs/>
          <w:szCs w:val="24"/>
        </w:rPr>
        <w:t>Zoek op varianten en eufemismen</w:t>
      </w:r>
      <w:r>
        <w:rPr>
          <w:szCs w:val="24"/>
        </w:rPr>
        <w:t>, niet alleen op ‘sodomie’: termen als onreine werken, vuyle zonde, ontierliker quaethey, tegen de natuur of onnatuurlijke zonde komen vaker voor dan het woord zelf.</w:t>
      </w:r>
    </w:p>
    <w:p>
      <w:pPr>
        <w:numPr>
          <w:ilvl w:val="0"/>
          <w:numId w:val="25"/>
        </w:numPr>
        <w:ind w:left="720" w:hanging="360"/>
        <w:spacing w:after="0"/>
        <w:rPr>
          <w:szCs w:val="24"/>
        </w:rPr>
      </w:pPr>
      <w:r>
        <w:rPr>
          <w:b/>
          <w:bCs/>
          <w:szCs w:val="24"/>
        </w:rPr>
        <w:t>Raadpleeg ook hogere rechtbanken</w:t>
      </w:r>
      <w:r>
        <w:rPr>
          <w:szCs w:val="24"/>
        </w:rPr>
        <w:t xml:space="preserve"> (zoals het Hof van Holland, toegang 3.03.01.01) wanneer lokale dossiers ontbreken; zaken zijn dan geordend naar instantie, niet naar plaats.</w:t>
      </w:r>
    </w:p>
    <w:p>
      <w:pPr>
        <w:numPr>
          <w:ilvl w:val="0"/>
          <w:numId w:val="25"/>
        </w:numPr>
        <w:ind w:left="720" w:hanging="360"/>
        <w:spacing w:after="0"/>
        <w:rPr>
          <w:szCs w:val="24"/>
        </w:rPr>
      </w:pPr>
      <w:r>
        <w:rPr>
          <w:b/>
          <w:bCs/>
          <w:szCs w:val="24"/>
        </w:rPr>
        <w:t>Controleer digitaliseringsstatus:</w:t>
      </w:r>
      <w:r>
        <w:rPr>
          <w:szCs w:val="24"/>
        </w:rPr>
        <w:t xml:space="preserve"> veel confessieboeken en criminele sententies (bijv. Amsterdam 5061; Leiden 0508 inv.nrs. 7A–7C; Haarlem 3111 inv.nrs. 241–244) zijn gescand, maar niet altijd volledig of doorzoekbaar.</w:t>
      </w:r>
    </w:p>
    <w:p>
      <w:pPr>
        <w:numPr>
          <w:ilvl w:val="0"/>
          <w:numId w:val="25"/>
        </w:numPr>
        <w:ind w:left="720" w:hanging="360"/>
        <w:spacing w:after="0"/>
        <w:rPr>
          <w:szCs w:val="24"/>
        </w:rPr>
      </w:pPr>
      <w:r>
        <w:rPr>
          <w:b/>
          <w:bCs/>
          <w:szCs w:val="24"/>
        </w:rPr>
        <w:t>Noteer altijd toegangsnummers en inventarisnummers</w:t>
      </w:r>
      <w:r>
        <w:rPr>
          <w:szCs w:val="24"/>
        </w:rPr>
        <w:t xml:space="preserve"> tijdens het werken, zodat je later exact kunt verwijzen en stukken kunt terugvinden.</w:t>
      </w:r>
    </w:p>
    <w:p>
      <w:pPr>
        <w:numPr>
          <w:ilvl w:val="0"/>
          <w:numId w:val="25"/>
        </w:numPr>
        <w:ind w:left="720" w:hanging="360"/>
        <w:spacing w:after="0"/>
        <w:rPr>
          <w:szCs w:val="24"/>
        </w:rPr>
      </w:pPr>
      <w:r>
        <w:rPr>
          <w:szCs w:val="24"/>
        </w:rPr>
      </w:r>
    </w:p>
    <w:p>
      <w:pPr>
        <w:pStyle w:val="para2"/>
      </w:pPr>
      <w:bookmarkStart w:id="8" w:name="_Toc232185146"/>
      <w:r>
        <w:t>2.2 Plakkaten, ordonnanties &amp; pamfletten</w:t>
      </w:r>
      <w:bookmarkEnd w:id="8"/>
      <w:r/>
    </w:p>
    <w:p>
      <w:pPr>
        <w:pStyle w:val="para4"/>
      </w:pPr>
      <w:r>
        <w:t>Wat is dit voor bron?</w:t>
      </w:r>
    </w:p>
    <w:p>
      <w:r>
        <w:t>Plakkaten, ordonnanties en pamfletten zijn normerende of opiniërende documenten die door overheden of particuliere drukkers werden uitgegeven.</w:t>
      </w:r>
    </w:p>
    <w:p>
      <w:pPr>
        <w:pStyle w:val="para13"/>
        <w:numPr>
          <w:ilvl w:val="0"/>
          <w:numId w:val="14"/>
        </w:numPr>
        <w:ind w:left="1080" w:hanging="360"/>
      </w:pPr>
      <w:r>
        <w:rPr>
          <w:b/>
          <w:bCs/>
        </w:rPr>
        <w:t>Plakkaten</w:t>
      </w:r>
      <w:r>
        <w:t>: officiële, vaak gewestelijke of stedelijke verordeningen die gedragsregels en strafbepalingen vastleggen.</w:t>
      </w:r>
    </w:p>
    <w:p>
      <w:pPr>
        <w:pStyle w:val="para13"/>
        <w:numPr>
          <w:ilvl w:val="0"/>
          <w:numId w:val="14"/>
        </w:numPr>
        <w:ind w:left="1080" w:hanging="360"/>
      </w:pPr>
      <w:r>
        <w:rPr>
          <w:b/>
          <w:bCs/>
        </w:rPr>
        <w:t>Ordonnanties</w:t>
      </w:r>
      <w:r>
        <w:t>: stedelijke of lokale regelingen, vaak praktischer en specifieker dan plakkaten.</w:t>
      </w:r>
    </w:p>
    <w:p>
      <w:pPr>
        <w:pStyle w:val="para13"/>
        <w:numPr>
          <w:ilvl w:val="0"/>
          <w:numId w:val="14"/>
        </w:numPr>
        <w:ind w:left="1080" w:hanging="360"/>
      </w:pPr>
      <w:r>
        <w:rPr>
          <w:b/>
          <w:bCs/>
        </w:rPr>
        <w:t>Pamfletten</w:t>
      </w:r>
      <w:r>
        <w:t>: gedrukte teksten die publieke opinie beïnvloeden; vóór 1730 zelden over sodomie, maar vanaf 1730 juist overvloedig.</w:t>
      </w:r>
    </w:p>
    <w:p>
      <w:r>
        <w:t>Deze bronsoorten laten zien hoe autoriteiten of burgers sodomie normatief of moreel kaderden, maar zeggen weinig over daadwerkelijke vervolging.</w:t>
      </w:r>
    </w:p>
    <w:p>
      <w:pPr>
        <w:pStyle w:val="para4"/>
      </w:pPr>
      <w:r>
        <w:t>Voor welke perioden is deze bron vooral bruikbaar?</w:t>
      </w:r>
    </w:p>
    <w:p>
      <w:r>
        <w:t>De beschikbaarheid van deze bronsoorten verschilt sterk per periode:</w:t>
      </w:r>
    </w:p>
    <w:p>
      <w:pPr>
        <w:pStyle w:val="para13"/>
        <w:numPr>
          <w:ilvl w:val="0"/>
          <w:numId w:val="15"/>
        </w:numPr>
        <w:ind w:left="1080" w:hanging="360"/>
      </w:pPr>
      <w:r>
        <w:rPr>
          <w:b/>
          <w:bCs/>
        </w:rPr>
        <w:t>Plakkaten</w:t>
      </w:r>
      <w:r>
        <w:t xml:space="preserve"> komen vooral vanaf de 16e eeuw systematisch voor, wanneer gewestelijke overheden (zoals de Staten van Holland) meer centrale regelgeving uitvaardigen.</w:t>
      </w:r>
    </w:p>
    <w:p>
      <w:pPr>
        <w:pStyle w:val="para13"/>
        <w:numPr>
          <w:ilvl w:val="0"/>
          <w:numId w:val="15"/>
        </w:numPr>
        <w:ind w:left="1080" w:hanging="360"/>
      </w:pPr>
      <w:r>
        <w:rPr>
          <w:b/>
          <w:bCs/>
        </w:rPr>
        <w:t>Ordonnanties</w:t>
      </w:r>
      <w:r>
        <w:t xml:space="preserve"> bestaan al in de middeleeuwen, maar zijn vaak slecht overgeleverd en zelden expliciet over sodomie.</w:t>
      </w:r>
    </w:p>
    <w:p>
      <w:pPr>
        <w:pStyle w:val="para13"/>
        <w:numPr>
          <w:ilvl w:val="0"/>
          <w:numId w:val="15"/>
        </w:numPr>
        <w:ind w:left="1080" w:hanging="360"/>
      </w:pPr>
      <w:r>
        <w:rPr>
          <w:b/>
          <w:bCs/>
        </w:rPr>
        <w:t>Pamfletten</w:t>
      </w:r>
      <w:r>
        <w:t xml:space="preserve"> zijn vóór 1700 nauwelijks relevant voor sodomie; pas tijdens de vervolgingsgolf van 1730 ontstaat een explosie aan pamfletten, liedbladen en moraliserende drukwerken.</w:t>
      </w:r>
    </w:p>
    <w:p>
      <w:r>
        <w:t>Voor de periode tot 1729 zijn plakkaten en ordonnanties vooral bruikbaar om te begrijpen hoe sodomie juridisch en moreel werd geclassificeerd, maar niet om concrete vervolgingen te reconstrueren.</w:t>
      </w:r>
    </w:p>
    <w:p>
      <w:pPr>
        <w:pStyle w:val="para4"/>
      </w:pPr>
      <w:r>
        <w:t>Waar te vinden?</w:t>
      </w:r>
    </w:p>
    <w:p>
      <w:r>
        <w:t>Plakkaten, ordonnanties en pamfletten zijn verspreid over verschillende archieven en collecties:</w:t>
      </w:r>
    </w:p>
    <w:p>
      <w:pPr>
        <w:pStyle w:val="para13"/>
        <w:numPr>
          <w:ilvl w:val="0"/>
          <w:numId w:val="22"/>
        </w:numPr>
        <w:ind w:left="720" w:hanging="360"/>
      </w:pPr>
      <w:r>
        <w:rPr>
          <w:b/>
          <w:bCs/>
        </w:rPr>
        <w:t>Nationaal Archief (Den Haag)</w:t>
      </w:r>
      <w:r/>
    </w:p>
    <w:p>
      <w:pPr>
        <w:pStyle w:val="para13"/>
        <w:numPr>
          <w:ilvl w:val="1"/>
          <w:numId w:val="22"/>
        </w:numPr>
        <w:ind w:left="1440" w:hanging="360"/>
      </w:pPr>
      <w:r>
        <w:t>Plakkaatboeken van de Staten-Generaal en Staten van Holland (diverse toegangen).</w:t>
      </w:r>
    </w:p>
    <w:p>
      <w:pPr>
        <w:pStyle w:val="para13"/>
        <w:numPr>
          <w:ilvl w:val="0"/>
          <w:numId w:val="22"/>
        </w:numPr>
        <w:ind w:left="720" w:hanging="360"/>
        <w:rPr>
          <w:b/>
          <w:bCs/>
        </w:rPr>
      </w:pPr>
      <w:r>
        <w:rPr>
          <w:b/>
          <w:bCs/>
        </w:rPr>
        <w:t>Koninklijke Bibliotheek (KB) / Delpher</w:t>
      </w:r>
    </w:p>
    <w:p>
      <w:pPr>
        <w:pStyle w:val="para13"/>
        <w:numPr>
          <w:ilvl w:val="1"/>
          <w:numId w:val="22"/>
        </w:numPr>
        <w:ind w:left="1440" w:hanging="360"/>
      </w:pPr>
      <w:hyperlink r:id="rId12" w:history="1">
        <w:r>
          <w:rPr>
            <w:rStyle w:val="char26"/>
            <w:i/>
            <w:iCs/>
          </w:rPr>
          <w:t>Verzameling van plakkaten, ordonnanties, resoluties enz., uitgevaardigd door de Staten en de Gecommitteerde Raden van Holland en West</w:t>
        </w:r>
        <w:r>
          <w:rPr>
            <w:rStyle w:val="char26"/>
            <w:i/>
            <w:iCs/>
          </w:rPr>
          <w:noBreakHyphen/>
          <w:t>Friesland van de 16e tot de 18e eeuw.</w:t>
        </w:r>
        <w:r>
          <w:rPr>
            <w:rStyle w:val="char26"/>
          </w:rPr>
          <w:t xml:space="preserve"> ’s</w:t>
        </w:r>
        <w:r>
          <w:rPr>
            <w:rStyle w:val="char26"/>
          </w:rPr>
          <w:noBreakHyphen/>
          <w:t xml:space="preserve">Gravenhage, 1792–1795. Inventaris: </w:t>
        </w:r>
        <w:r>
          <w:rPr>
            <w:rStyle w:val="char26"/>
          </w:rPr>
          <w:t>Plakk</w:t>
        </w:r>
        <w:r>
          <w:rPr>
            <w:rStyle w:val="char26"/>
          </w:rPr>
          <w:t xml:space="preserve"> F 140 [1–92]. Gedigitaliseerd exemplaar, Koninklijke Bibliotheek, 2009.</w:t>
        </w:r>
      </w:hyperlink>
      <w:r>
        <w:rPr>
          <w:i/>
          <w:iCs/>
        </w:rPr>
        <w:t xml:space="preserve"> </w:t>
      </w:r>
      <w:r>
        <w:t>In deze verzameling is ook de digitale versie van het Placaat betreffende sodomie uit 1730 te vinden.</w:t>
      </w:r>
    </w:p>
    <w:p>
      <w:pPr>
        <w:pStyle w:val="para13"/>
        <w:numPr>
          <w:ilvl w:val="1"/>
          <w:numId w:val="22"/>
        </w:numPr>
        <w:ind w:left="1440" w:hanging="360"/>
      </w:pPr>
      <w:r>
        <w:t xml:space="preserve">Je kunt hier ook enkele pamfletten en krantartikelen vinden, met name van de Haarlemse Courant, zoals deze; </w:t>
      </w:r>
      <w:hyperlink r:id="rId13" w:history="1">
        <w:r>
          <w:rPr>
            <w:rStyle w:val="char26"/>
          </w:rPr>
          <w:t xml:space="preserve">ENGELANT, &amp;c.. "Oprechte </w:t>
        </w:r>
        <w:r>
          <w:rPr>
            <w:rStyle w:val="char26"/>
          </w:rPr>
          <w:t>Haerlemsche</w:t>
        </w:r>
        <w:r>
          <w:rPr>
            <w:rStyle w:val="char26"/>
          </w:rPr>
          <w:t xml:space="preserve"> courant". </w:t>
        </w:r>
        <w:r>
          <w:rPr>
            <w:rStyle w:val="char26"/>
          </w:rPr>
          <w:t>Haerlem</w:t>
        </w:r>
        <w:r>
          <w:rPr>
            <w:rStyle w:val="char26"/>
          </w:rPr>
          <w:t>, 03-02-1680, p. 2.</w:t>
        </w:r>
      </w:hyperlink>
      <w:r>
        <w:t xml:space="preserve"> </w:t>
      </w:r>
    </w:p>
    <w:p>
      <w:pPr>
        <w:pStyle w:val="para13"/>
        <w:numPr>
          <w:ilvl w:val="0"/>
          <w:numId w:val="22"/>
        </w:numPr>
        <w:ind w:left="720" w:hanging="360"/>
      </w:pPr>
      <w:r>
        <w:rPr>
          <w:b/>
          <w:bCs/>
        </w:rPr>
        <w:t>Regionale en stedelijke archieven</w:t>
      </w:r>
      <w:r/>
    </w:p>
    <w:p>
      <w:pPr>
        <w:pStyle w:val="para13"/>
        <w:numPr>
          <w:ilvl w:val="1"/>
          <w:numId w:val="22"/>
        </w:numPr>
        <w:ind w:left="1440" w:hanging="360"/>
      </w:pPr>
      <w:r>
        <w:rPr>
          <w:b/>
          <w:bCs/>
        </w:rPr>
        <w:t>Erfgoed Leiden en Omstreken</w:t>
      </w:r>
      <w:r>
        <w:t xml:space="preserve">: stedelijke ordonnanties en keuren van Leiden (toegangsnummers variëren per periode). Naast algemene plakkaten en stedelijke ordonnanties bestaan er ook individuele bevelschriften van landsheren of magistraten, zoals het verbod van Philips van Bourgondië (1454); </w:t>
      </w:r>
      <w:hyperlink r:id="rId14" w:history="1">
        <w:r>
          <w:rPr>
            <w:rStyle w:val="char26"/>
            <w:i/>
            <w:iCs/>
          </w:rPr>
          <w:t>Secretarie van de stad Leiden (SA I), (1253) 1290–1575 (1858)</w:t>
        </w:r>
        <w:r>
          <w:rPr>
            <w:rStyle w:val="char26"/>
          </w:rPr>
          <w:t xml:space="preserve">. Toegang 0501. Reg.nr. 678: Verbod van Philips van Bourgondië om zonder oproep in de vierschaar van Rijnsburg te verschijnen in de zaak tegen Jan </w:t>
        </w:r>
        <w:r>
          <w:rPr>
            <w:rStyle w:val="char26"/>
          </w:rPr>
          <w:t>Woutersz</w:t>
        </w:r>
        <w:r>
          <w:rPr>
            <w:rStyle w:val="char26"/>
          </w:rPr>
          <w:t>, aangeklaagd van sodomie, 1454.</w:t>
        </w:r>
      </w:hyperlink>
      <w:r>
        <w:t xml:space="preserve"> Deze casuïstische stukken zijn schaars, maar juist daardoor waardevol: zij tonen wanneer autoriteiten een zaak uitzonderlijk genoeg vonden om persoonlijk in te grijpen.</w:t>
      </w:r>
    </w:p>
    <w:p>
      <w:pPr>
        <w:pStyle w:val="para13"/>
        <w:numPr>
          <w:ilvl w:val="1"/>
          <w:numId w:val="22"/>
        </w:numPr>
        <w:ind w:left="1440" w:hanging="360"/>
      </w:pPr>
      <w:r>
        <w:rPr>
          <w:b/>
          <w:bCs/>
        </w:rPr>
        <w:t>Streekarchief Gooi en Vechtstreek</w:t>
      </w:r>
      <w:r>
        <w:t xml:space="preserve">: heeft bijvoorbeeld het </w:t>
      </w:r>
      <w:hyperlink r:id="rId15" w:history="1">
        <w:r>
          <w:rPr>
            <w:rStyle w:val="char26"/>
            <w:i/>
            <w:iCs/>
          </w:rPr>
          <w:t xml:space="preserve">Groot Utrechts </w:t>
        </w:r>
        <w:r>
          <w:rPr>
            <w:rStyle w:val="char26"/>
            <w:i/>
            <w:iCs/>
          </w:rPr>
          <w:t>Placaatboek</w:t>
        </w:r>
        <w:r>
          <w:rPr>
            <w:rStyle w:val="char26"/>
            <w:i/>
            <w:iCs/>
          </w:rPr>
          <w:t xml:space="preserve">, deel 1: Vervattende de </w:t>
        </w:r>
        <w:r>
          <w:rPr>
            <w:rStyle w:val="char26"/>
            <w:i/>
            <w:iCs/>
          </w:rPr>
          <w:t>placaten</w:t>
        </w:r>
        <w:r>
          <w:rPr>
            <w:rStyle w:val="char26"/>
            <w:i/>
            <w:iCs/>
          </w:rPr>
          <w:t xml:space="preserve">, </w:t>
        </w:r>
        <w:r>
          <w:rPr>
            <w:rStyle w:val="char26"/>
            <w:i/>
            <w:iCs/>
          </w:rPr>
          <w:t>ordonnantien</w:t>
        </w:r>
        <w:r>
          <w:rPr>
            <w:rStyle w:val="char26"/>
            <w:i/>
            <w:iCs/>
          </w:rPr>
          <w:t xml:space="preserve"> en edicten der edele mogende Heeren Staten ’s Lands van Utrecht, etc.</w:t>
        </w:r>
        <w:r>
          <w:rPr>
            <w:rStyle w:val="char26"/>
          </w:rPr>
          <w:t xml:space="preserve"> Utrecht, 1729. SAGV031, item 8355 L.</w:t>
        </w:r>
      </w:hyperlink>
    </w:p>
    <w:p>
      <w:pPr>
        <w:pStyle w:val="para4"/>
      </w:pPr>
      <w:r>
        <w:t>Hoe is de bron overgeleverd en welke beperkingen brengt dat met zich mee?</w:t>
      </w:r>
    </w:p>
    <w:p>
      <w:r>
        <w:t>De overlevering van deze bronsoorten is sterk afhankelijk van periode en context:</w:t>
      </w:r>
    </w:p>
    <w:p>
      <w:pPr>
        <w:pStyle w:val="para13"/>
        <w:numPr>
          <w:ilvl w:val="0"/>
          <w:numId w:val="21"/>
        </w:numPr>
        <w:ind w:left="1080" w:hanging="360"/>
      </w:pPr>
      <w:r>
        <w:rPr>
          <w:b/>
          <w:bCs/>
        </w:rPr>
        <w:t>Plakkaten</w:t>
      </w:r>
      <w:r>
        <w:t xml:space="preserve"> zijn vaak goed bewaard, maar worden in latere plakkaatboeken soms ingekort of geherformuleerd.</w:t>
      </w:r>
    </w:p>
    <w:p>
      <w:pPr>
        <w:pStyle w:val="para13"/>
        <w:numPr>
          <w:ilvl w:val="0"/>
          <w:numId w:val="21"/>
        </w:numPr>
        <w:ind w:left="1080" w:hanging="360"/>
      </w:pPr>
      <w:r>
        <w:rPr>
          <w:b/>
          <w:bCs/>
        </w:rPr>
        <w:t>Ordonnanties</w:t>
      </w:r>
      <w:r>
        <w:t xml:space="preserve"> zijn vaak lokaal, handgeschreven en slecht overgeleverd; veel reeksen zijn incompleet of verloren gegaan.</w:t>
      </w:r>
    </w:p>
    <w:p>
      <w:pPr>
        <w:pStyle w:val="para13"/>
        <w:numPr>
          <w:ilvl w:val="0"/>
          <w:numId w:val="21"/>
        </w:numPr>
        <w:ind w:left="1080" w:hanging="360"/>
      </w:pPr>
      <w:r>
        <w:rPr>
          <w:b/>
          <w:bCs/>
        </w:rPr>
        <w:t>Pamfletten vóór 1730</w:t>
      </w:r>
      <w:r>
        <w:t xml:space="preserve"> zijn schaars omdat sodomie geen onderwerp was van publieke drukcultuur; pas in 1730 ontstaat massale productie.</w:t>
      </w:r>
    </w:p>
    <w:p>
      <w:r>
        <w:t>Daarnaast:</w:t>
      </w:r>
    </w:p>
    <w:p>
      <w:pPr>
        <w:pStyle w:val="para13"/>
        <w:numPr>
          <w:ilvl w:val="0"/>
          <w:numId w:val="18"/>
        </w:numPr>
        <w:ind w:left="1080" w:hanging="360"/>
      </w:pPr>
      <w:r>
        <w:t xml:space="preserve">Sodomie wordt in plakkaten en ordonnanties zelden expliciet genoemd; vaak gaat het om brede categorieën zoals </w:t>
      </w:r>
      <w:r>
        <w:rPr>
          <w:i/>
          <w:iCs/>
        </w:rPr>
        <w:t>onkuisheid</w:t>
      </w:r>
      <w:r>
        <w:t xml:space="preserve">, </w:t>
      </w:r>
      <w:r>
        <w:rPr>
          <w:i/>
          <w:iCs/>
        </w:rPr>
        <w:t>schandelijke misdaden</w:t>
      </w:r>
      <w:r>
        <w:t xml:space="preserve"> of </w:t>
      </w:r>
      <w:r>
        <w:rPr>
          <w:i/>
          <w:iCs/>
        </w:rPr>
        <w:t>zonden tegen de natuur</w:t>
      </w:r>
      <w:r>
        <w:t>.</w:t>
      </w:r>
    </w:p>
    <w:p>
      <w:pPr>
        <w:pStyle w:val="para13"/>
        <w:numPr>
          <w:ilvl w:val="0"/>
          <w:numId w:val="18"/>
        </w:numPr>
        <w:ind w:left="1080" w:hanging="360"/>
      </w:pPr>
      <w:r>
        <w:t>Veel bepalingen zijn heruitgaven van oudere regels, waardoor het moeilijk is te bepalen of een bepaling nieuw beleid representeert.</w:t>
      </w:r>
    </w:p>
    <w:p>
      <w:pPr>
        <w:pStyle w:val="para13"/>
        <w:numPr>
          <w:ilvl w:val="0"/>
          <w:numId w:val="18"/>
        </w:numPr>
        <w:ind w:left="1080" w:hanging="360"/>
      </w:pPr>
      <w:r>
        <w:t>Gedrukte verzamelingen zijn handig, maar niet altijd volledig of betrouwbaar; originele versies kunnen afwijken.</w:t>
      </w:r>
    </w:p>
    <w:p>
      <w:pPr>
        <w:pStyle w:val="para4"/>
      </w:pPr>
      <w:r>
        <w:t>Wat laat de bron zien?</w:t>
      </w:r>
    </w:p>
    <w:p>
      <w:r>
        <w:t>Plakkaten, ordonnanties en pamfletten tonen hoe autoriteiten sodomie juridisch en moreel positioneerden, welke straffen zij formeel voor ogen hadden en hoe zij de grenzen van morele orde definieerden. Juist omdat expliciete bepalingen vóór 1730 schaars zijn, laten deze bronnen zien wanneer, waarom en onder welke omstandigheden sodomie wél benoemd werd, en daarmee welke situaties voor overheden uitzonderlijk of urgent genoeg waren om te reguleren.</w:t>
      </w:r>
    </w:p>
    <w:p>
      <w:r>
        <w:t xml:space="preserve">Zij maken bovendien zichtbaar hoe stedelijke en gewestelijke overheden hun normatieve kaders formuleerden, hoe categorieën als </w:t>
      </w:r>
      <w:r>
        <w:rPr>
          <w:i/>
          <w:iCs/>
        </w:rPr>
        <w:t>onkuisheid</w:t>
      </w:r>
      <w:r>
        <w:t xml:space="preserve"> of </w:t>
      </w:r>
      <w:r>
        <w:rPr>
          <w:i/>
          <w:iCs/>
        </w:rPr>
        <w:t>zonden tegen de natuur</w:t>
      </w:r>
      <w:r>
        <w:t xml:space="preserve"> functioneerden, en hoe de classificatie van sodomie in de loop der tijd verschoof. Voor 1730 bieden plakkaten en ordonnanties daarmee een cruciale blik op de normatieve horizon waarbinnen vervolging mogelijk werd, terwijl pamfletten (vooral vanaf 1730) laten zien hoe die normen publiek werden verbeeld en bekritiseerd.</w:t>
      </w:r>
    </w:p>
    <w:p>
      <w:r>
        <w:t>Samen geven deze bronnen inzicht in de normatieve en discursieve context die vervolging mogelijk maakte — niet ondanks hun schaarste, maar juist dankzij de uitzonderlijke momenten waarop zij wél expliciet worden.</w:t>
      </w:r>
    </w:p>
    <w:p>
      <w:pPr>
        <w:pStyle w:val="para4"/>
      </w:pPr>
      <w:r>
        <w:t>Wat laat de bron niet zien?</w:t>
      </w:r>
    </w:p>
    <w:p>
      <w:r>
        <w:t>Deze bronsoorten tonen niet:</w:t>
      </w:r>
    </w:p>
    <w:p>
      <w:pPr>
        <w:pStyle w:val="para13"/>
        <w:numPr>
          <w:ilvl w:val="0"/>
          <w:numId w:val="13"/>
        </w:numPr>
        <w:ind w:left="1080" w:hanging="360"/>
      </w:pPr>
      <w:r>
        <w:t>hoe vaak of op welke wijze regels daadwerkelijk werden gehandhaafd;</w:t>
      </w:r>
    </w:p>
    <w:p>
      <w:pPr>
        <w:pStyle w:val="para13"/>
        <w:numPr>
          <w:ilvl w:val="0"/>
          <w:numId w:val="13"/>
        </w:numPr>
        <w:ind w:left="1080" w:hanging="360"/>
      </w:pPr>
      <w:r>
        <w:t>hoe lokale autoriteiten omgingen met verdenkingen;</w:t>
      </w:r>
    </w:p>
    <w:p>
      <w:pPr>
        <w:pStyle w:val="para13"/>
        <w:numPr>
          <w:ilvl w:val="0"/>
          <w:numId w:val="13"/>
        </w:numPr>
        <w:ind w:left="1080" w:hanging="360"/>
      </w:pPr>
      <w:r>
        <w:t>hoe burgers deze normen ervoeren;</w:t>
      </w:r>
    </w:p>
    <w:p>
      <w:pPr>
        <w:pStyle w:val="para13"/>
        <w:numPr>
          <w:ilvl w:val="0"/>
          <w:numId w:val="13"/>
        </w:numPr>
        <w:ind w:left="1080" w:hanging="360"/>
      </w:pPr>
      <w:r>
        <w:t>of de voorgeschreven strafmaat in de praktijk werd toegepast;</w:t>
      </w:r>
    </w:p>
    <w:p>
      <w:pPr>
        <w:pStyle w:val="para13"/>
        <w:numPr>
          <w:ilvl w:val="0"/>
          <w:numId w:val="13"/>
        </w:numPr>
        <w:ind w:left="1080" w:hanging="360"/>
      </w:pPr>
      <w:r>
        <w:t>of een plakkaat nieuw beleid representeert of slechts een herhaling is.</w:t>
      </w:r>
    </w:p>
    <w:p>
      <w:r>
        <w:t>Ze bieden dus geen directe toegang tot vervolgingspraktijken, maar vooral tot gewenste regulering en publieke framing.</w:t>
      </w:r>
    </w:p>
    <w:p>
      <w:pPr>
        <w:pStyle w:val="para4"/>
      </w:pPr>
      <w:r>
        <w:t>Veelvoorkomende valkuilen</w:t>
      </w:r>
    </w:p>
    <w:p>
      <w:pPr>
        <w:pStyle w:val="para13"/>
        <w:numPr>
          <w:ilvl w:val="0"/>
          <w:numId w:val="10"/>
        </w:numPr>
        <w:ind w:left="1080" w:hanging="360"/>
      </w:pPr>
      <w:r>
        <w:t>Plakkaten lezen alsof zij de feitelijke praktijk weerspiegelen.</w:t>
      </w:r>
    </w:p>
    <w:p>
      <w:pPr>
        <w:pStyle w:val="para13"/>
        <w:numPr>
          <w:ilvl w:val="0"/>
          <w:numId w:val="10"/>
        </w:numPr>
        <w:ind w:left="1080" w:hanging="360"/>
      </w:pPr>
      <w:r>
        <w:t>Eufemistische termen te snel gelijkstellen aan sodomie.</w:t>
      </w:r>
    </w:p>
    <w:p>
      <w:pPr>
        <w:pStyle w:val="para13"/>
        <w:numPr>
          <w:ilvl w:val="0"/>
          <w:numId w:val="10"/>
        </w:numPr>
        <w:ind w:left="1080" w:hanging="360"/>
      </w:pPr>
      <w:r>
        <w:t>Aannemen dat een expliciete strafbepaling automatisch tot vervolging leidde.</w:t>
      </w:r>
    </w:p>
    <w:p>
      <w:pPr>
        <w:pStyle w:val="para13"/>
        <w:numPr>
          <w:ilvl w:val="0"/>
          <w:numId w:val="10"/>
        </w:numPr>
        <w:ind w:left="1080" w:hanging="360"/>
      </w:pPr>
      <w:r>
        <w:t>Pamfletten uit 1730 gebruiken alsof ze representatief zijn voor eerdere eeuwen.</w:t>
      </w:r>
    </w:p>
    <w:p>
      <w:pPr>
        <w:pStyle w:val="para13"/>
        <w:numPr>
          <w:ilvl w:val="0"/>
          <w:numId w:val="10"/>
        </w:numPr>
        <w:ind w:left="1080" w:hanging="360"/>
      </w:pPr>
      <w:r>
        <w:t>Gedrukte plakkaatboeken gebruiken zonder de originele versie te controleren.</w:t>
      </w:r>
    </w:p>
    <w:p>
      <w:pPr>
        <w:pStyle w:val="para4"/>
      </w:pPr>
      <w:r>
        <w:t>Praktische tips voor gebruik</w:t>
      </w:r>
    </w:p>
    <w:p>
      <w:pPr>
        <w:pStyle w:val="para13"/>
        <w:numPr>
          <w:ilvl w:val="0"/>
          <w:numId w:val="16"/>
        </w:numPr>
        <w:ind w:left="1080" w:hanging="360"/>
      </w:pPr>
      <w:r>
        <w:t>Controleer altijd de oorspronkelijke plakkaten naast gedrukte verzamelingen; latere edities kunnen ingekort of aangepast zijn.</w:t>
      </w:r>
    </w:p>
    <w:p>
      <w:pPr>
        <w:pStyle w:val="para13"/>
        <w:numPr>
          <w:ilvl w:val="0"/>
          <w:numId w:val="16"/>
        </w:numPr>
        <w:ind w:left="1080" w:hanging="360"/>
      </w:pPr>
      <w:r>
        <w:t xml:space="preserve">Zoek op eufemismen zoals </w:t>
      </w:r>
      <w:r>
        <w:rPr>
          <w:i/>
          <w:iCs/>
        </w:rPr>
        <w:t>onkuisheid</w:t>
      </w:r>
      <w:r>
        <w:t xml:space="preserve">, </w:t>
      </w:r>
      <w:r>
        <w:rPr>
          <w:i/>
          <w:iCs/>
        </w:rPr>
        <w:t>schandelijke misdaden</w:t>
      </w:r>
      <w:r>
        <w:t xml:space="preserve">, </w:t>
      </w:r>
      <w:r>
        <w:rPr>
          <w:i/>
          <w:iCs/>
        </w:rPr>
        <w:t>zonden tegen de natuur</w:t>
      </w:r>
      <w:r>
        <w:t xml:space="preserve">, </w:t>
      </w:r>
      <w:r>
        <w:rPr>
          <w:i/>
          <w:iCs/>
        </w:rPr>
        <w:t>vuyle zonde</w:t>
      </w:r>
      <w:r>
        <w:t xml:space="preserve"> of </w:t>
      </w:r>
      <w:r>
        <w:rPr>
          <w:i/>
          <w:iCs/>
        </w:rPr>
        <w:t>onnatuurlijke zonde</w:t>
      </w:r>
      <w:r>
        <w:t>.</w:t>
      </w:r>
    </w:p>
    <w:p>
      <w:pPr>
        <w:pStyle w:val="para13"/>
        <w:numPr>
          <w:ilvl w:val="0"/>
          <w:numId w:val="16"/>
        </w:numPr>
        <w:ind w:left="1080" w:hanging="360"/>
      </w:pPr>
      <w:r>
        <w:t>Combineer plakkaten en ordonnanties met processtukken om te zien hoe regelgeving in de praktijk werd toegepast.</w:t>
      </w:r>
    </w:p>
    <w:p>
      <w:pPr>
        <w:pStyle w:val="para13"/>
        <w:numPr>
          <w:ilvl w:val="0"/>
          <w:numId w:val="16"/>
        </w:numPr>
        <w:ind w:left="1080" w:hanging="360"/>
      </w:pPr>
      <w:r>
        <w:t>Let op heruitgaven: controleer datering en context om te bepalen of een bepaling nieuw beleid of herhaling is.</w:t>
      </w:r>
    </w:p>
    <w:p>
      <w:pPr>
        <w:pStyle w:val="para13"/>
        <w:numPr>
          <w:ilvl w:val="0"/>
          <w:numId w:val="16"/>
        </w:numPr>
        <w:ind w:left="1080" w:hanging="360"/>
      </w:pPr>
      <w:r>
        <w:t>Gebruik pamfletten vooral voor 1730, niet voor eerdere perioden; vóór 1730 zijn ze nauwelijks relevant voor sodomie.</w:t>
      </w:r>
    </w:p>
    <w:p>
      <w:pPr>
        <w:pStyle w:val="para13"/>
        <w:numPr>
          <w:ilvl w:val="0"/>
          <w:numId w:val="16"/>
        </w:numPr>
        <w:ind w:left="1080" w:hanging="360"/>
      </w:pPr>
      <w:r>
        <w:t>Noteer altijd toegangsnummers en inventarisnummers voor hergebruik.</w:t>
      </w:r>
    </w:p>
    <w:p>
      <w:r/>
    </w:p>
    <w:p>
      <w:r/>
    </w:p>
    <w:p>
      <w:pPr>
        <w:pStyle w:val="para2"/>
      </w:pPr>
      <w:bookmarkStart w:id="9" w:name="_Toc232185147"/>
      <w:r>
        <w:t>2.3 Kerkelijke en moreel-theologische bronnen</w:t>
      </w:r>
      <w:bookmarkEnd w:id="9"/>
      <w:r/>
    </w:p>
    <w:p>
      <w:pPr>
        <w:pStyle w:val="para4"/>
      </w:pPr>
      <w:r>
        <w:t>Wat is dit voor bron?</w:t>
      </w:r>
    </w:p>
    <w:p>
      <w:pPr>
        <w:rPr>
          <w:szCs w:val="24"/>
        </w:rPr>
      </w:pPr>
      <w:r>
        <w:rPr>
          <w:szCs w:val="24"/>
        </w:rPr>
        <w:t>Kerkelijke en moreel</w:t>
        <w:noBreakHyphen/>
        <w:t>theologische bronnen vormen geen uniforme broncategorie, maar bestaan uit verschillende subgenres die elk een eigen functie hebben binnen de religieuze en morele regulering van sodomie. In grote lijnen gaat het om vier typen bronnen:</w:t>
      </w:r>
    </w:p>
    <w:p>
      <w:pPr>
        <w:pStyle w:val="para13"/>
        <w:numPr>
          <w:ilvl w:val="0"/>
          <w:numId w:val="1"/>
        </w:numPr>
        <w:ind w:left="1080" w:hanging="360"/>
        <w:rPr>
          <w:szCs w:val="24"/>
        </w:rPr>
      </w:pPr>
      <w:r>
        <w:rPr>
          <w:b/>
          <w:bCs/>
          <w:szCs w:val="24"/>
        </w:rPr>
        <w:t>Theologische en canoniek</w:t>
        <w:noBreakHyphen/>
        <w:t>rechtelijke teksten</w:t>
      </w:r>
      <w:r>
        <w:rPr>
          <w:szCs w:val="24"/>
        </w:rPr>
        <w:t xml:space="preserve"> Scholastieke traktaten, commentaren op canoniek recht en moreel</w:t>
        <w:noBreakHyphen/>
        <w:t>theologische handboeken waarin sodomie systematisch wordt geclassificeerd binnen bredere zonde</w:t>
        <w:noBreakHyphen/>
        <w:t xml:space="preserve"> en deugdcategorieën (zoals de </w:t>
      </w:r>
      <w:r>
        <w:rPr>
          <w:i/>
          <w:iCs/>
          <w:szCs w:val="24"/>
        </w:rPr>
        <w:t>vitia contra naturam</w:t>
      </w:r>
      <w:r>
        <w:rPr>
          <w:szCs w:val="24"/>
        </w:rPr>
        <w:t>).</w:t>
      </w:r>
    </w:p>
    <w:p>
      <w:pPr>
        <w:pStyle w:val="para13"/>
        <w:numPr>
          <w:ilvl w:val="0"/>
          <w:numId w:val="1"/>
        </w:numPr>
        <w:ind w:left="1080" w:hanging="360"/>
        <w:rPr>
          <w:szCs w:val="24"/>
        </w:rPr>
      </w:pPr>
      <w:r>
        <w:rPr>
          <w:b/>
          <w:bCs/>
          <w:szCs w:val="24"/>
        </w:rPr>
        <w:t>Pastorale en disciplinaire literatuur</w:t>
      </w:r>
      <w:r>
        <w:rPr>
          <w:szCs w:val="24"/>
        </w:rPr>
        <w:t xml:space="preserve"> Boeteboeken, pastorale handboeken, preken en moraliserende teksten die geestelijken instrueren hoe zij zondaars moeten ondervragen, begeleiden en disciplineren, en die sodomie vaak gebruiken als exemplum in morele vermaning.</w:t>
      </w:r>
    </w:p>
    <w:p>
      <w:pPr>
        <w:pStyle w:val="para13"/>
        <w:numPr>
          <w:ilvl w:val="0"/>
          <w:numId w:val="1"/>
        </w:numPr>
        <w:ind w:left="1080" w:hanging="360"/>
        <w:rPr>
          <w:szCs w:val="24"/>
        </w:rPr>
      </w:pPr>
      <w:r>
        <w:rPr>
          <w:b/>
          <w:bCs/>
          <w:szCs w:val="24"/>
        </w:rPr>
        <w:t>Kerkelijke normatieve documenten</w:t>
      </w:r>
      <w:r>
        <w:rPr>
          <w:szCs w:val="24"/>
        </w:rPr>
        <w:t xml:space="preserve"> Synodale statuten, mandementen, visitatieverslagen en andere regelgevende teksten die voorschriften bevatten over zedelijk gedrag, toezicht op geestelijken en de handhaving van kerkelijke discipline.</w:t>
      </w:r>
    </w:p>
    <w:p>
      <w:pPr>
        <w:pStyle w:val="para13"/>
        <w:numPr>
          <w:ilvl w:val="0"/>
          <w:numId w:val="1"/>
        </w:numPr>
        <w:ind w:left="1080" w:hanging="360"/>
        <w:rPr>
          <w:szCs w:val="24"/>
        </w:rPr>
      </w:pPr>
      <w:r>
        <w:rPr>
          <w:b/>
          <w:bCs/>
          <w:szCs w:val="24"/>
        </w:rPr>
        <w:t>Kerkelijke rechtspraak</w:t>
      </w:r>
      <w:r>
        <w:rPr>
          <w:szCs w:val="24"/>
        </w:rPr>
        <w:t xml:space="preserve"> Archieven van de officialiteit, kapittels, consistories en classes waarin concrete zedenzaken, soms ook sodomie, werden behandeld. Deze bronnen lijken qua vorm op wereldlijke processtukken, maar opereren binnen een eigen juridisch</w:t>
        <w:noBreakHyphen/>
        <w:t>theologisch kader.</w:t>
      </w:r>
    </w:p>
    <w:p>
      <w:pPr>
        <w:rPr>
          <w:szCs w:val="24"/>
        </w:rPr>
      </w:pPr>
      <w:r>
        <w:rPr>
          <w:szCs w:val="24"/>
        </w:rPr>
        <w:t>Samen laten deze bronnen zien hoe sodomie theologisch werd gedefinieerd, moreel werd gewogen en institutioneel werd gereguleerd, zowel in de katholieke middeleeuwen als in de gereformeerde vroegmoderne tijd. De diversiteit van deze subgenres maakt ze rijk, maar vraagt om een zorgvuldige lezing waarin normatieve, pastorale en juridische functies niet met elkaar worden verward.</w:t>
      </w:r>
    </w:p>
    <w:p>
      <w:pPr>
        <w:pStyle w:val="para4"/>
      </w:pPr>
      <w:r>
        <w:t>Voor welke perioden is deze bron vooral bruikbaar?</w:t>
      </w:r>
    </w:p>
    <w:p>
      <w:pPr>
        <w:rPr>
          <w:szCs w:val="24"/>
        </w:rPr>
      </w:pPr>
      <w:r>
        <w:rPr>
          <w:szCs w:val="24"/>
        </w:rPr>
        <w:t>Deze bronnen zijn waardevol voor de hele periode van deze onderzoeksgids, waarin de kerk een centrale rol speelde in morele regulering en zondebesef. In de dertiende eeuw ontstaan de scholastieke classificaties die eeuwenlang richtinggevend blijven voor de manier waarop sodomie theologisch werd begrepen. In de veertiende en vijftiende eeuw worden deze ideeën vertaald in canoniek recht, synodale statuten, visitatieverslagen en pastorale handboeken die ook in de Noordelijke Nederlanden circuleerden.</w:t>
      </w:r>
    </w:p>
    <w:p>
      <w:pPr>
        <w:rPr>
          <w:szCs w:val="24"/>
        </w:rPr>
      </w:pPr>
      <w:r>
        <w:rPr>
          <w:szCs w:val="24"/>
        </w:rPr>
        <w:t>Na de Reformatie verandert de institutionele context:</w:t>
      </w:r>
    </w:p>
    <w:p>
      <w:pPr>
        <w:numPr>
          <w:ilvl w:val="0"/>
          <w:numId w:val="11"/>
        </w:numPr>
        <w:ind w:left="720" w:hanging="360"/>
        <w:rPr>
          <w:szCs w:val="24"/>
        </w:rPr>
      </w:pPr>
      <w:r>
        <w:rPr>
          <w:szCs w:val="24"/>
        </w:rPr>
        <w:t>in de Noordelijke Nederlanden verdwijnt de officiële kerkelijke rechtspraak grotendeels, maar gereformeerde consistories, classes en synoden blijven zedenzaken bespreken;</w:t>
      </w:r>
    </w:p>
    <w:p>
      <w:pPr>
        <w:numPr>
          <w:ilvl w:val="0"/>
          <w:numId w:val="11"/>
        </w:numPr>
        <w:ind w:left="720" w:hanging="360"/>
        <w:rPr>
          <w:szCs w:val="24"/>
        </w:rPr>
      </w:pPr>
      <w:r>
        <w:rPr>
          <w:szCs w:val="24"/>
        </w:rPr>
        <w:t>in de Zuidelijke Nederlanden blijft de katholieke kerkelijke rechtspraak bestaan, maar ook daar verschuift de vervolging van sodomie steeds meer naar wereldlijke rechtbanken.</w:t>
      </w:r>
    </w:p>
    <w:p>
      <w:pPr>
        <w:rPr>
          <w:szCs w:val="24"/>
        </w:rPr>
      </w:pPr>
      <w:r>
        <w:rPr>
          <w:szCs w:val="24"/>
        </w:rPr>
        <w:t>Toch blijven kerkelijke bronnen tot ver in de zeventiende eeuw invloedrijk als normatieve referentiepunten, ook wanneer de kerk zelf geen directe vervolgingsbevoegdheid meer heeft.</w:t>
      </w:r>
    </w:p>
    <w:p>
      <w:pPr>
        <w:pStyle w:val="para4"/>
      </w:pPr>
      <w:r>
        <w:t>Waar te vinden?</w:t>
      </w:r>
    </w:p>
    <w:p>
      <w:pPr>
        <w:rPr>
          <w:szCs w:val="24"/>
        </w:rPr>
      </w:pPr>
      <w:r>
        <w:rPr>
          <w:szCs w:val="24"/>
        </w:rPr>
        <w:t>Kerkelijke en moreel</w:t>
        <w:noBreakHyphen/>
        <w:t>theologische bronnen bevinden zich op verschillende archiefniveaus, omdat de kerkelijke organisatie in de Noordelijke Nederlanden tussen 1200 en 1700 ingrijpend veranderde. De belangrijkste vindplaatsen zijn:</w:t>
      </w:r>
    </w:p>
    <w:p>
      <w:pPr>
        <w:rPr>
          <w:szCs w:val="24"/>
        </w:rPr>
      </w:pPr>
      <w:r>
        <w:rPr>
          <w:szCs w:val="24"/>
        </w:rPr>
        <w:t xml:space="preserve">De kerncollecties bevinden zich in het </w:t>
      </w:r>
      <w:r>
        <w:rPr>
          <w:b/>
          <w:bCs/>
          <w:szCs w:val="24"/>
        </w:rPr>
        <w:t>Utrechts Archief</w:t>
      </w:r>
      <w:r>
        <w:rPr>
          <w:szCs w:val="24"/>
        </w:rPr>
        <w:t>, waaronder:</w:t>
      </w:r>
    </w:p>
    <w:p>
      <w:pPr>
        <w:pStyle w:val="para13"/>
        <w:numPr>
          <w:ilvl w:val="0"/>
          <w:numId w:val="9"/>
        </w:numPr>
        <w:ind w:left="1080" w:hanging="360"/>
        <w:rPr>
          <w:szCs w:val="24"/>
        </w:rPr>
      </w:pPr>
      <w:r>
        <w:rPr>
          <w:szCs w:val="24"/>
        </w:rPr>
        <w:t xml:space="preserve">Archieven van het </w:t>
      </w:r>
      <w:r>
        <w:rPr>
          <w:b/>
          <w:bCs/>
          <w:szCs w:val="24"/>
        </w:rPr>
        <w:t>aartsbisdom Utrecht</w:t>
      </w:r>
      <w:r>
        <w:rPr>
          <w:szCs w:val="24"/>
        </w:rPr>
        <w:t>; zie</w:t>
      </w:r>
      <w:r>
        <w:rPr>
          <w:b/>
          <w:bCs/>
          <w:szCs w:val="24"/>
        </w:rPr>
        <w:t xml:space="preserve"> </w:t>
      </w:r>
      <w:r>
        <w:rPr>
          <w:i/>
          <w:iCs/>
          <w:szCs w:val="24"/>
        </w:rPr>
        <w:t>Verzamelde stukken van de oud</w:t>
        <w:noBreakHyphen/>
        <w:t>katholieke kerk in Nederland, 1384–1699</w:t>
      </w:r>
      <w:r>
        <w:rPr>
          <w:szCs w:val="24"/>
        </w:rPr>
        <w:t xml:space="preserve">. Toegangstitel: </w:t>
      </w:r>
      <w:r>
        <w:rPr>
          <w:i/>
          <w:iCs/>
          <w:szCs w:val="24"/>
        </w:rPr>
        <w:t>Inventaris van archivalia, verzameld door apostolische vikarissen van de Hollandse Zending en katholiek gebleven kanunniken van de geseculariseerde kapittels, gedeponeerd bij het vicariaat van Utrecht</w:t>
      </w:r>
      <w:r>
        <w:rPr>
          <w:szCs w:val="24"/>
        </w:rPr>
        <w:t>. Inventaris opgesteld door F.H.A. Rikhof, 1993.</w:t>
      </w:r>
      <w:r>
        <w:rPr>
          <w:szCs w:val="24"/>
        </w:rPr>
      </w:r>
    </w:p>
    <w:p>
      <w:pPr>
        <w:pStyle w:val="para13"/>
        <w:numPr>
          <w:ilvl w:val="0"/>
          <w:numId w:val="9"/>
        </w:numPr>
        <w:ind w:left="1080" w:hanging="360"/>
        <w:rPr>
          <w:szCs w:val="24"/>
        </w:rPr>
      </w:pPr>
      <w:r>
        <w:rPr>
          <w:b/>
          <w:bCs/>
          <w:szCs w:val="24"/>
        </w:rPr>
        <w:t>Kapittelarchieven</w:t>
      </w:r>
      <w:r>
        <w:rPr>
          <w:szCs w:val="24"/>
        </w:rPr>
        <w:t xml:space="preserve">: Met bijvoorbeeld het volgende stuk uit het archief </w:t>
      </w:r>
      <w:hyperlink r:id="rId16" w:history="1">
        <w:r>
          <w:rPr>
            <w:rStyle w:val="char26"/>
            <w:i/>
            <w:iCs/>
            <w:szCs w:val="24"/>
          </w:rPr>
          <w:t>Domkapittel te Utrecht</w:t>
        </w:r>
        <w:r>
          <w:rPr>
            <w:rStyle w:val="char26"/>
            <w:szCs w:val="24"/>
          </w:rPr>
          <w:t>. Inv.nr. 2443</w:t>
        </w:r>
        <w:r>
          <w:rPr>
            <w:rStyle w:val="char26"/>
            <w:szCs w:val="24"/>
          </w:rPr>
          <w:noBreakHyphen/>
          <w:t xml:space="preserve">a: Concept/minuut van een brief van de plaatsvervangend </w:t>
        </w:r>
        <w:r>
          <w:rPr>
            <w:rStyle w:val="char26"/>
            <w:szCs w:val="24"/>
          </w:rPr>
          <w:t>officialis</w:t>
        </w:r>
        <w:r>
          <w:rPr>
            <w:rStyle w:val="char26"/>
            <w:szCs w:val="24"/>
          </w:rPr>
          <w:t xml:space="preserve"> van de aartsdiaken aan schout en schepenen van Amsterdam over de priester Cornelis </w:t>
        </w:r>
        <w:r>
          <w:rPr>
            <w:rStyle w:val="char26"/>
            <w:szCs w:val="24"/>
          </w:rPr>
          <w:t>Peterss</w:t>
        </w:r>
        <w:r>
          <w:rPr>
            <w:rStyle w:val="char26"/>
            <w:szCs w:val="24"/>
          </w:rPr>
          <w:t>, aangehouden wegens sodomie, 1534</w:t>
        </w:r>
      </w:hyperlink>
      <w:r>
        <w:rPr>
          <w:szCs w:val="24"/>
        </w:rPr>
        <w:t>.</w:t>
      </w:r>
      <w:r>
        <w:rPr>
          <w:szCs w:val="24"/>
        </w:rPr>
        <w:t xml:space="preserve"> Sommige van deze stukken, waaronder deze, zijn ook digitaal beschikbaar. </w:t>
      </w:r>
      <w:r>
        <w:rPr>
          <w:szCs w:val="24"/>
        </w:rPr>
      </w:r>
    </w:p>
    <w:p>
      <w:pPr>
        <w:pStyle w:val="para13"/>
        <w:numPr>
          <w:ilvl w:val="0"/>
          <w:numId w:val="9"/>
        </w:numPr>
        <w:ind w:left="1080" w:hanging="360"/>
        <w:rPr>
          <w:szCs w:val="24"/>
        </w:rPr>
      </w:pPr>
      <w:r>
        <w:rPr>
          <w:szCs w:val="24"/>
        </w:rPr>
        <w:t xml:space="preserve">De </w:t>
      </w:r>
      <w:r>
        <w:rPr>
          <w:b/>
          <w:bCs/>
          <w:szCs w:val="24"/>
        </w:rPr>
        <w:t>officialiteit</w:t>
      </w:r>
      <w:r>
        <w:rPr>
          <w:szCs w:val="24"/>
        </w:rPr>
        <w:t xml:space="preserve"> (kerkelijke rechtbank); het Utrechts Archief heeft verschillende algemene provinciale, classis en synodale archieven waarin de kerkelijke rechtspraak naar voren komt. </w:t>
      </w:r>
    </w:p>
    <w:p>
      <w:pPr>
        <w:pStyle w:val="para13"/>
        <w:numPr>
          <w:ilvl w:val="0"/>
          <w:numId w:val="9"/>
        </w:numPr>
        <w:ind w:left="1080" w:hanging="360"/>
        <w:rPr>
          <w:szCs w:val="24"/>
        </w:rPr>
      </w:pPr>
      <w:r>
        <w:rPr>
          <w:b/>
          <w:bCs/>
          <w:szCs w:val="24"/>
        </w:rPr>
        <w:t>Synodale statuten</w:t>
      </w:r>
      <w:r>
        <w:rPr>
          <w:szCs w:val="24"/>
        </w:rPr>
        <w:t xml:space="preserve">, </w:t>
      </w:r>
      <w:r>
        <w:rPr>
          <w:b/>
          <w:bCs/>
          <w:szCs w:val="24"/>
        </w:rPr>
        <w:t>mandementen</w:t>
      </w:r>
      <w:r>
        <w:rPr>
          <w:szCs w:val="24"/>
        </w:rPr>
        <w:t xml:space="preserve"> en </w:t>
      </w:r>
      <w:r>
        <w:rPr>
          <w:b/>
          <w:bCs/>
          <w:szCs w:val="24"/>
        </w:rPr>
        <w:t>visitatieverslagen</w:t>
      </w:r>
      <w:r>
        <w:rPr>
          <w:szCs w:val="24"/>
        </w:rPr>
        <w:t xml:space="preserve">. Zoals bijvoorbeeld het; </w:t>
      </w:r>
      <w:r>
        <w:rPr>
          <w:i/>
          <w:iCs/>
          <w:szCs w:val="24"/>
        </w:rPr>
        <w:t>Oud Synodaal Archief van de Nederlandse Hervormde Kerk, 1566–1816</w:t>
      </w:r>
      <w:r>
        <w:rPr>
          <w:szCs w:val="24"/>
        </w:rPr>
        <w:t xml:space="preserve">. Toegangstitel: </w:t>
      </w:r>
      <w:r>
        <w:rPr>
          <w:i/>
          <w:iCs/>
          <w:szCs w:val="24"/>
        </w:rPr>
        <w:t>Inventaris van de archieven behorend tot het ‘Oud Synodaal Archief’ van de Nederlandse Hervormde Kerk 1566–1816</w:t>
      </w:r>
      <w:r>
        <w:rPr>
          <w:szCs w:val="24"/>
        </w:rPr>
        <w:t>. Inventaris opgesteld door A. Fris, 2000 (bewerkt 2006).</w:t>
      </w:r>
    </w:p>
    <w:p>
      <w:pPr>
        <w:rPr>
          <w:szCs w:val="24"/>
        </w:rPr>
      </w:pPr>
      <w:r>
        <w:rPr>
          <w:szCs w:val="24"/>
        </w:rPr>
        <w:t>Deze reeksen bevatten normatieve, disciplinaire en juridische documenten die inzicht geven in de kerkelijke regulering van zedenzaken.Daarnaast zijn er lokale parochie</w:t>
        <w:noBreakHyphen/>
        <w:t xml:space="preserve"> en kapittelarchieven in stadsarchieven (zoals Leiden, Haarlem, Deventer, Zwolle, Groningen), waarin preken, rekeningen, visitatieverslagen of fragmenten van kerkelijke tucht kunnen voorkomen. De overlevering hiervan is echter sterk afhankelijk van lokale omstandigheden, zoals Reformatie, secularisatie en archiefverlies.</w:t>
      </w:r>
    </w:p>
    <w:p>
      <w:pPr>
        <w:rPr>
          <w:szCs w:val="24"/>
        </w:rPr>
      </w:pPr>
      <w:r>
        <w:rPr>
          <w:szCs w:val="24"/>
        </w:rPr>
        <w:t>Voor de periode na de Reformatie verschuift de situatie. De katholieke kerkelijke structuren verdwijnen in de Republiek, maar gereformeerde consistories, classes en synoden produceren nieuwe vormen van kerkelijke normering. Deze archieven bevinden zich deels in regionale archieven, deels in het Nationaal Archief, vooral wanneer kerkelijke taken door wereldlijke instellingen werden overgenomen of wanneer archieven van opgeheven kloosters en kapittels in staatsbezit kwamen. Mandementen en zedenverordeningen uit de vroegmoderne tijd kunnen daarom zowel in kerkelijke als in wereldlijke archiefreeksen voorkomen.</w:t>
      </w:r>
    </w:p>
    <w:p>
      <w:pPr>
        <w:rPr>
          <w:szCs w:val="24"/>
        </w:rPr>
      </w:pPr>
      <w:r>
        <w:rPr>
          <w:szCs w:val="24"/>
        </w:rPr>
        <w:t>Theologische en moraliserende teksten,  zoals preken, boeteboeken, scholastieke traktaten en vroomheidsliteratuur, zijn vaak niet in archieven, maar in digitale tekstcollecties (zoals DBNL), universiteitsbibliotheken en gedrukte edities te vinden. Deze teksten circuleren doorgaans bovenlokaal en weerspiegelen bredere Europese tradities die ook in de Lage Landen invloed hadden.</w:t>
      </w:r>
    </w:p>
    <w:p>
      <w:pPr>
        <w:pStyle w:val="para4"/>
      </w:pPr>
      <w:r>
        <w:t>Hoe is de bron overgeleverd en welke beperkingen brengt dat met zich mee?</w:t>
      </w:r>
    </w:p>
    <w:p>
      <w:r>
        <w:t>De overlevering van kerkelijke en moreel</w:t>
        <w:noBreakHyphen/>
        <w:t>theologische bronnen wordt sterk bepaald door de institutionele breuklijnen die de Noordelijke Nederlanden tussen 1200 en 1700 doorkruisen. De middeleeuwse katholieke structuren, het aartsbisdom Utrecht, de kapittels en de officialiteit, produceerden omvangrijke reeksen mandementen, statuten, visitatieverslagen, pastorale instructies en processtukken. Deze archieven zijn echter na de Reformatie vaak geconfisqueerd, herverdeeld of geïntegreerd in wereldlijke administraties, waardoor de oorspronkelijke ordening verloren ging en de overlevering fragmentarisch is.</w:t>
      </w:r>
    </w:p>
    <w:p>
      <w:r>
        <w:t>Daarnaast vormt de materiële aard van deze bronnen een beperking. Veel middeleeuwse en vroegmoderne documenten zijn geschreven in Latijn of in moeilijk leesbaar gotisch cursief, wat de toegankelijkheid voor moderne onderzoekers beperkt. Gedrukte preken, boeteboeken en moraliserende traktaten zijn beter bewaard, maar hun overlevering is afhankelijk van toevallige drukgeschiedenis en selecties uit de vroegmoderne tijd, waardoor een canoniserend effect ontstaat: wat bewaard is, is niet noodzakelijk representatief.</w:t>
      </w:r>
    </w:p>
    <w:p>
      <w:r>
        <w:t xml:space="preserve">Ook de inhoudelijke toegankelijkheid kent beperkingen. Kerkelijke bronnen benoemen sodomie vaak niet expliciet, maar via eufemismen zoals </w:t>
      </w:r>
      <w:r>
        <w:rPr>
          <w:i/>
          <w:iCs/>
        </w:rPr>
        <w:t>vuyle zonde</w:t>
      </w:r>
      <w:r>
        <w:t xml:space="preserve">, </w:t>
      </w:r>
      <w:r>
        <w:rPr>
          <w:i/>
          <w:iCs/>
        </w:rPr>
        <w:t>tegennatuurlijke daad</w:t>
      </w:r>
      <w:r>
        <w:t xml:space="preserve"> of verwijzingen naar Sodom en Gomorra</w:t>
      </w:r>
      <w:r>
        <w:rPr>
          <w:rStyle w:val="char25"/>
        </w:rPr>
      </w:r>
      <w:r>
        <w:rPr>
          <w:rStyle w:val="char25"/>
        </w:rPr>
        <w:footnoteReference w:id="11"/>
      </w:r>
      <w:r>
        <w:t>. Dit maakt systematisch zoeken lastig en vereist kennis van het historische semantische veld. Digitale zoekinstrumenten bieden daarom slechts beperkte toegang.</w:t>
      </w:r>
    </w:p>
    <w:p>
      <w:r>
        <w:t>Ten slotte is er een structurele ongelijkheid tussen Noord en Zuid. In de Zuidelijke Nederlanden bleven katholieke instellingen na de Reformatie functioneren, waardoor kerkelijke rechtspraak daar consistenter en rijker is overgeleverd. In de Noordelijke Nederlanden verdwenen veel kerkelijke structuren, waardoor lacunes niet alleen het gevolg zijn van archiefverlies, maar ook van institutionele discontinuïteit.</w:t>
      </w:r>
    </w:p>
    <w:p>
      <w:r/>
    </w:p>
    <w:p>
      <w:pPr>
        <w:pStyle w:val="para4"/>
      </w:pPr>
      <w:r>
        <w:t>Wat laat de bron zien?</w:t>
      </w:r>
    </w:p>
    <w:p>
      <w:pPr>
        <w:rPr>
          <w:szCs w:val="24"/>
        </w:rPr>
      </w:pPr>
      <w:r>
        <w:rPr>
          <w:szCs w:val="24"/>
        </w:rPr>
        <w:t>Kerkelijke en moreel</w:t>
        <w:noBreakHyphen/>
        <w:t>theologische bronnen laten vooral zien hoe sodomie werd gedacht, benoemd en moreel gewogen binnen katholieke en gereformeerde tradities. Zij tonen:</w:t>
      </w:r>
    </w:p>
    <w:p>
      <w:pPr>
        <w:numPr>
          <w:ilvl w:val="0"/>
          <w:numId w:val="8"/>
        </w:numPr>
        <w:ind w:left="720" w:hanging="360"/>
        <w:spacing w:after="0"/>
        <w:rPr>
          <w:szCs w:val="24"/>
        </w:rPr>
      </w:pPr>
      <w:r>
        <w:rPr>
          <w:szCs w:val="24"/>
        </w:rPr>
        <w:t>de theologische logica achter de classificatie van sodomie als ‘onnatuurlijke zonde’;</w:t>
      </w:r>
    </w:p>
    <w:p>
      <w:pPr>
        <w:numPr>
          <w:ilvl w:val="0"/>
          <w:numId w:val="8"/>
        </w:numPr>
        <w:ind w:left="720" w:hanging="360"/>
        <w:spacing w:after="0"/>
        <w:rPr>
          <w:szCs w:val="24"/>
        </w:rPr>
      </w:pPr>
      <w:r>
        <w:rPr>
          <w:szCs w:val="24"/>
        </w:rPr>
        <w:t>de emotionele en morele taal waarmee geestelijken zondaars moesten aanspreken;</w:t>
      </w:r>
    </w:p>
    <w:p>
      <w:pPr>
        <w:numPr>
          <w:ilvl w:val="0"/>
          <w:numId w:val="8"/>
        </w:numPr>
        <w:ind w:left="720" w:hanging="360"/>
        <w:spacing w:after="0"/>
        <w:rPr>
          <w:szCs w:val="24"/>
        </w:rPr>
      </w:pPr>
      <w:r>
        <w:rPr>
          <w:szCs w:val="24"/>
        </w:rPr>
        <w:t>de verwachte houding van zondaars (berouw, schaamte, boetvaardigheid);</w:t>
      </w:r>
    </w:p>
    <w:p>
      <w:pPr>
        <w:numPr>
          <w:ilvl w:val="0"/>
          <w:numId w:val="8"/>
        </w:numPr>
        <w:ind w:left="720" w:hanging="360"/>
        <w:spacing w:after="0"/>
        <w:rPr>
          <w:szCs w:val="24"/>
        </w:rPr>
      </w:pPr>
      <w:r>
        <w:rPr>
          <w:szCs w:val="24"/>
        </w:rPr>
        <w:t>de manier waarop sodomie werd verbonden met goddelijke straf, vaak via het verhaal van Sodom en Gomorra;</w:t>
      </w:r>
    </w:p>
    <w:p>
      <w:pPr>
        <w:numPr>
          <w:ilvl w:val="0"/>
          <w:numId w:val="8"/>
        </w:numPr>
        <w:ind w:left="720" w:hanging="360"/>
        <w:rPr>
          <w:szCs w:val="24"/>
        </w:rPr>
      </w:pPr>
      <w:r>
        <w:rPr>
          <w:szCs w:val="24"/>
        </w:rPr>
        <w:t>de rol van sodomie in bredere discoursen over orde, gemeenschap en moreel verval.</w:t>
      </w:r>
    </w:p>
    <w:p>
      <w:pPr>
        <w:rPr>
          <w:szCs w:val="24"/>
        </w:rPr>
      </w:pPr>
      <w:r>
        <w:rPr>
          <w:szCs w:val="24"/>
        </w:rPr>
        <w:t>Deze bronnen zijn daarom onmisbaar om te begrijpen waarom sodomie in wereldlijke context als ernstig delict werd gezien. Ze vormen het intellectuele en morele fundament waarop wereldlijke vervolgingen konden steunen.</w:t>
      </w:r>
    </w:p>
    <w:p>
      <w:pPr>
        <w:pStyle w:val="para4"/>
      </w:pPr>
      <w:r>
        <w:t>Wat laat de bron niet zien?</w:t>
      </w:r>
    </w:p>
    <w:p>
      <w:r>
        <w:t>Kerkelijke en moreel</w:t>
        <w:noBreakHyphen/>
        <w:t>theologische bronnen geven slechts beperkt inzicht in de feitelijke praktijk van sodomie. Zij noemen zelden namen, plaatsen of concrete gebeurtenissen. Wanneer voorbeelden worden gegeven, zijn deze meestal exemplarisch of moraliserend, bedoeld om een moreel punt te maken, niet om een gebeurtenis te documenteren. Daardoor bieden zij geen betrouwbaar beeld van de frequentie van sodomie, de sociale dynamiek van concrete zaken of de manier waarop gemeenschappen feitelijk reageerden.</w:t>
      </w:r>
    </w:p>
    <w:p>
      <w:r>
        <w:t>De meeste theologische en pastorale teksten zijn bovendien normatief van aard: zij beschrijven hoe gelovigen en geestelijken zich zouden moeten gedragen, niet hoe zij zich daadwerkelijk gedroegen. De intensiteit van de veroordeling in preken of boeteboeken zegt daarom weinig over de realiteit van zedelijk gedrag of de mate waarin sodomie in de samenleving voorkwam.</w:t>
      </w:r>
    </w:p>
    <w:p>
      <w:r>
        <w:t>Hoewel kerkelijke rechtbanken in de middeleeuwen en vroegmoderne tijd wel degelijk zedenzaken behandelden, is hun overlevering in de Noordelijke Nederlanden fragmentarisch. Veel dossiers zijn verloren gegaan of slechts gedeeltelijk bewaard gebleven, waardoor deze bronnen geen systematisch overzicht bieden van vervolging of tucht. Gereformeerde consistorieboeken bevatten soms concrete gevallen, maar ook daar is de documentatie selectief en afhankelijk van lokale omstandigheden.</w:t>
      </w:r>
    </w:p>
    <w:p>
      <w:r>
        <w:t>Ten slotte laten deze bronnen niet zien hoe wereldlijke rechtbanken sodomiezaken behandelden. Kerkelijke en moreel</w:t>
        <w:noBreakHyphen/>
        <w:t>theologische teksten vormen het normatieve kader, maar in veel gevallen niet de juridische praktijk waarin straffen werden uitgesproken. Voor inzicht in vervolging, bewijsvoering en strafmaat zijn wereldlijke processtukken minstens zo belangrijk.</w:t>
      </w:r>
    </w:p>
    <w:p>
      <w:pPr>
        <w:pStyle w:val="para4"/>
      </w:pPr>
      <w:r>
        <w:t>Veelvoorkomende valkuilen</w:t>
      </w:r>
    </w:p>
    <w:p>
      <w:r>
        <w:t>Een eerste valkuil is het verwarren van normatieve taal met sociale realiteit. De heftigheid van de veroordeling in preken, boeteboeken of synodale statuten zegt weinig over hoe vaak sodomie voorkwam of hoe gemeenschappen feitelijk reageerden. Deze teksten beschrijven idealen en angsten, geen empirische praktijk.</w:t>
      </w:r>
    </w:p>
    <w:p>
      <w:r>
        <w:t xml:space="preserve">Een tweede valkuil is het projecteren van moderne categorieën, zoals ‘homoseksualiteit’, op theologische of pastorale teksten die opereren binnen een geheel ander begrippenkader. Begrippen als </w:t>
      </w:r>
      <w:r>
        <w:rPr>
          <w:i/>
          <w:iCs/>
        </w:rPr>
        <w:t>tegennatuurlijke zonde</w:t>
      </w:r>
      <w:r>
        <w:t xml:space="preserve"> of </w:t>
      </w:r>
      <w:r>
        <w:rPr>
          <w:i/>
          <w:iCs/>
        </w:rPr>
        <w:t>vuyle zonde</w:t>
      </w:r>
      <w:r>
        <w:t xml:space="preserve"> verwijzen naar morele en kosmologische ordeningen, niet naar identiteiten of oriëntaties.</w:t>
      </w:r>
    </w:p>
    <w:p>
      <w:r>
        <w:t>Een derde valkuil is het onderschatten van de rol van kerkelijke rechtbanken. Hoewel doodstraffen en zware lijfstraffen in de Noordelijke Nederlanden exclusief door wereldlijke rechtbanken werden uitgesproken, behandelen kerkelijke rechtbanken, vooral vóór 1700, wel degelijk concrete zedenzaken, inclusief gevallen van sodomie. In de archieven van de officialiteit, kapittels en soms ook consistories zijn sporen te vinden van onderzoek, verhoren, voorwaarden voor vrijlating, verwijzingen naar andere instanties en disciplinaire maatregelen. De beperking zit niet in het ontbreken van praktijk, maar in de fragmentarische en ongelijkmatige overlevering, waardoor deze bronnen geen volledig beeld geven van de omvang of frequentie van sodomie.</w:t>
      </w:r>
    </w:p>
    <w:p>
      <w:r>
        <w:t>Een vierde valkuil is het vermengen van verschillende kerkelijke genres. Theologische traktaten, pastorale handboeken, synodale statuten en consistorieboeken hebben elk een eigen functie en moeten niet als één type bron worden gelezen. Het door elkaar halen van normatieve, pastorale en juridische functies leidt snel tot verkeerde conclusies.</w:t>
      </w:r>
    </w:p>
    <w:p>
      <w:r>
        <w:t>Ten slotte is er de valkuil van regionale generalisatie. De institutionele context verschilt sterk tussen Noord en Zuid: katholieke rechtspraak bleef in de Zuidelijke Nederlanden functioneren, terwijl in de Republiek gereformeerde tuchtorganen de rol van kerkelijke discipline overnamen. Conclusies uit één regio zijn daarom niet zonder meer toepasbaar op de andere.</w:t>
      </w:r>
    </w:p>
    <w:p>
      <w:r/>
    </w:p>
    <w:p>
      <w:pPr>
        <w:pStyle w:val="para4"/>
      </w:pPr>
      <w:r>
        <w:t>Praktische tips voor gebruik</w:t>
      </w:r>
    </w:p>
    <w:p>
      <w:pPr>
        <w:pStyle w:val="para13"/>
        <w:numPr>
          <w:ilvl w:val="0"/>
          <w:numId w:val="23"/>
        </w:numPr>
        <w:ind w:left="720" w:hanging="360"/>
        <w:rPr>
          <w:b/>
          <w:bCs/>
          <w:szCs w:val="24"/>
        </w:rPr>
      </w:pPr>
      <w:r>
        <w:rPr>
          <w:b/>
          <w:bCs/>
          <w:szCs w:val="24"/>
        </w:rPr>
        <w:t xml:space="preserve">Werk met het juiste genre in gedachten. </w:t>
      </w:r>
      <w:r>
        <w:rPr>
          <w:szCs w:val="24"/>
        </w:rPr>
        <w:t>Bepaal altijd eerst of je te maken hebt met een theologisch traktaat, een pastoraal handboek, een synodaal statuut, een visitatieverslag of een rechtspraakstuk. Elk genre heeft een eigen doel en produceert een ander type informatie. Theologische teksten geven concepten; consistorieboeken en officialiteitsarchieven geven praktijk.</w:t>
      </w:r>
      <w:r>
        <w:rPr>
          <w:b/>
          <w:bCs/>
          <w:szCs w:val="24"/>
        </w:rPr>
      </w:r>
    </w:p>
    <w:p>
      <w:pPr>
        <w:pStyle w:val="para13"/>
        <w:numPr>
          <w:ilvl w:val="0"/>
          <w:numId w:val="23"/>
        </w:numPr>
        <w:ind w:left="720" w:hanging="360"/>
        <w:rPr>
          <w:b/>
          <w:bCs/>
          <w:szCs w:val="24"/>
        </w:rPr>
      </w:pPr>
      <w:r>
        <w:rPr>
          <w:b/>
          <w:bCs/>
          <w:szCs w:val="24"/>
        </w:rPr>
        <w:t>Zoek op termen uit het historische semantische veld.</w:t>
      </w:r>
      <w:r>
        <w:rPr>
          <w:szCs w:val="24"/>
        </w:rPr>
        <w:t xml:space="preserve"> Sodomie wordt zelden expliciet genoemd. Gebruik zoektermen als: </w:t>
      </w:r>
      <w:r>
        <w:rPr>
          <w:i/>
          <w:iCs/>
          <w:szCs w:val="24"/>
        </w:rPr>
        <w:t>vuyle zonde</w:t>
      </w:r>
      <w:r>
        <w:rPr>
          <w:szCs w:val="24"/>
        </w:rPr>
        <w:t xml:space="preserve">, </w:t>
      </w:r>
      <w:r>
        <w:rPr>
          <w:i/>
          <w:iCs/>
          <w:szCs w:val="24"/>
        </w:rPr>
        <w:t>tegennatuurlijke daad</w:t>
      </w:r>
      <w:r>
        <w:rPr>
          <w:szCs w:val="24"/>
        </w:rPr>
        <w:t xml:space="preserve">, </w:t>
      </w:r>
      <w:r>
        <w:rPr>
          <w:i/>
          <w:iCs/>
          <w:szCs w:val="24"/>
        </w:rPr>
        <w:t>vitia contra naturam</w:t>
      </w:r>
      <w:r>
        <w:rPr>
          <w:szCs w:val="24"/>
        </w:rPr>
        <w:t xml:space="preserve">, </w:t>
      </w:r>
      <w:r>
        <w:rPr>
          <w:i/>
          <w:iCs/>
          <w:szCs w:val="24"/>
        </w:rPr>
        <w:t>sodomiticum</w:t>
      </w:r>
      <w:r>
        <w:rPr>
          <w:szCs w:val="24"/>
        </w:rPr>
        <w:t xml:space="preserve">, </w:t>
      </w:r>
      <w:r>
        <w:rPr>
          <w:i/>
          <w:iCs/>
          <w:szCs w:val="24"/>
        </w:rPr>
        <w:t>abominatio</w:t>
      </w:r>
      <w:r>
        <w:rPr>
          <w:szCs w:val="24"/>
        </w:rPr>
        <w:t xml:space="preserve">, </w:t>
      </w:r>
      <w:r>
        <w:rPr>
          <w:i/>
          <w:iCs/>
          <w:szCs w:val="24"/>
        </w:rPr>
        <w:t>scandaleus leven</w:t>
      </w:r>
      <w:r>
        <w:rPr>
          <w:szCs w:val="24"/>
        </w:rPr>
        <w:t xml:space="preserve">, </w:t>
      </w:r>
      <w:r>
        <w:rPr>
          <w:i/>
          <w:iCs/>
          <w:szCs w:val="24"/>
        </w:rPr>
        <w:t>onkuisheid</w:t>
      </w:r>
      <w:r>
        <w:rPr>
          <w:szCs w:val="24"/>
        </w:rPr>
        <w:t xml:space="preserve">, </w:t>
      </w:r>
      <w:r>
        <w:rPr>
          <w:i/>
          <w:iCs/>
          <w:szCs w:val="24"/>
        </w:rPr>
        <w:t>incontinentia</w:t>
      </w:r>
      <w:r>
        <w:rPr>
          <w:szCs w:val="24"/>
        </w:rPr>
        <w:t>. Dit vergroot de kans dat je relevante passages vindt in digitale inventarissen en gedrukte bronnen.</w:t>
      </w:r>
      <w:r>
        <w:rPr>
          <w:b/>
          <w:bCs/>
          <w:szCs w:val="24"/>
        </w:rPr>
      </w:r>
    </w:p>
    <w:p>
      <w:pPr>
        <w:pStyle w:val="para13"/>
        <w:numPr>
          <w:ilvl w:val="0"/>
          <w:numId w:val="23"/>
        </w:numPr>
        <w:ind w:left="720" w:hanging="360"/>
        <w:rPr>
          <w:b/>
          <w:bCs/>
          <w:szCs w:val="24"/>
        </w:rPr>
      </w:pPr>
      <w:r>
        <w:rPr>
          <w:b/>
          <w:bCs/>
          <w:szCs w:val="24"/>
        </w:rPr>
        <w:t>Combineer normatieve en juridische bronnen.</w:t>
      </w:r>
      <w:r>
        <w:rPr>
          <w:szCs w:val="24"/>
        </w:rPr>
        <w:t xml:space="preserve"> Normatieve teksten (preken, statuten, boeteboeken) laten zien hoe sodomie werd gedacht en gewogen; juridische bronnen laten zien hoe er in specifieke gevallen werd gehandeld. Door beide te combineren kun je beter onderscheiden wat ideaal was en wat praktijk.</w:t>
      </w:r>
      <w:r>
        <w:rPr>
          <w:b/>
          <w:bCs/>
          <w:szCs w:val="24"/>
        </w:rPr>
      </w:r>
    </w:p>
    <w:p>
      <w:pPr>
        <w:pStyle w:val="para13"/>
        <w:numPr>
          <w:ilvl w:val="0"/>
          <w:numId w:val="23"/>
        </w:numPr>
        <w:ind w:left="720" w:hanging="360"/>
        <w:rPr>
          <w:b/>
          <w:bCs/>
          <w:szCs w:val="24"/>
        </w:rPr>
      </w:pPr>
      <w:r>
        <w:rPr>
          <w:b/>
          <w:bCs/>
          <w:szCs w:val="24"/>
        </w:rPr>
        <w:t>Let op regionale verschillen in overlevering.</w:t>
      </w:r>
      <w:r>
        <w:rPr>
          <w:szCs w:val="24"/>
        </w:rPr>
        <w:t xml:space="preserve"> In de Zuidelijke Nederlanden bleven katholieke structuren functioneren, waardoor kerkelijke rechtspraak daar rijker is overgeleverd. In de Noordelijke Nederlanden zijn lacunes groter door confiscatie, opheffing en herordening van archieven. Houd rekening met deze asymmetrie bij het trekken van conclusies.</w:t>
      </w:r>
      <w:r>
        <w:rPr>
          <w:b/>
          <w:bCs/>
          <w:szCs w:val="24"/>
        </w:rPr>
      </w:r>
    </w:p>
    <w:p>
      <w:pPr>
        <w:pStyle w:val="para13"/>
        <w:numPr>
          <w:ilvl w:val="0"/>
          <w:numId w:val="23"/>
        </w:numPr>
        <w:ind w:left="720" w:hanging="360"/>
        <w:rPr>
          <w:b/>
          <w:bCs/>
          <w:szCs w:val="24"/>
        </w:rPr>
      </w:pPr>
      <w:r>
        <w:rPr>
          <w:b/>
          <w:bCs/>
          <w:szCs w:val="24"/>
        </w:rPr>
        <w:t>Wees alert op lacunes en reconstructies.</w:t>
      </w:r>
      <w:r>
        <w:rPr>
          <w:szCs w:val="24"/>
        </w:rPr>
        <w:t xml:space="preserve"> Veel reeksen zijn incompleet of herordend na de Reformatie. Noteer altijd wanneer een reeks begint en eindigt, en wees voorzichtig met het trekken van kwantitatieve conclusies.</w:t>
      </w:r>
      <w:r>
        <w:rPr>
          <w:b/>
          <w:bCs/>
          <w:szCs w:val="24"/>
        </w:rPr>
      </w:r>
    </w:p>
    <w:p>
      <w:pPr>
        <w:rPr>
          <w:szCs w:val="24"/>
        </w:rPr>
      </w:pPr>
      <w:r>
        <w:rPr>
          <w:szCs w:val="24"/>
        </w:rPr>
      </w:r>
    </w:p>
    <w:p>
      <w:pPr>
        <w:pStyle w:val="para2"/>
      </w:pPr>
      <w:bookmarkStart w:id="11" w:name="_Toc232185148"/>
      <w:r>
        <w:t>2.4 Notariële en administratieve bronnen</w:t>
      </w:r>
      <w:bookmarkEnd w:id="11"/>
      <w:r/>
    </w:p>
    <w:p>
      <w:pPr>
        <w:pStyle w:val="para4"/>
      </w:pPr>
      <w:r>
        <w:t>Wat is dit voor bron?</w:t>
      </w:r>
    </w:p>
    <w:p>
      <w:pPr>
        <w:rPr>
          <w:szCs w:val="24"/>
        </w:rPr>
      </w:pPr>
      <w:r>
        <w:rPr>
          <w:szCs w:val="24"/>
        </w:rPr>
        <w:t>Notariële en administratieve bronnen zijn documenten die buiten het formele strafproces tot stand kwamen, maar waarin juist daarom indirecte sporen van verdenking, reputatieschade of bestuurlijke interventie zichtbaar kunnen worden. Het gaat om akten die bedoeld waren om rechtszekerheid te creëren, maar die in situaties van sociale crisis of conflict vaak een glimp geven van de onderliggende aanleiding.</w:t>
      </w:r>
    </w:p>
    <w:p>
      <w:pPr>
        <w:rPr>
          <w:szCs w:val="24"/>
        </w:rPr>
      </w:pPr>
      <w:r>
        <w:rPr>
          <w:szCs w:val="24"/>
        </w:rPr>
        <w:t>Voor onderzoek naar sodomie zijn vooral de volgende soorten akten relevant:</w:t>
      </w:r>
    </w:p>
    <w:p>
      <w:pPr>
        <w:pStyle w:val="para13"/>
        <w:numPr>
          <w:ilvl w:val="0"/>
          <w:numId w:val="2"/>
        </w:numPr>
        <w:ind w:left="1080" w:hanging="360"/>
        <w:rPr>
          <w:szCs w:val="24"/>
        </w:rPr>
      </w:pPr>
      <w:r>
        <w:rPr>
          <w:b/>
          <w:bCs/>
          <w:szCs w:val="24"/>
        </w:rPr>
        <w:t>Attestaties en getuigenverklaringen</w:t>
      </w:r>
      <w:r>
        <w:rPr>
          <w:szCs w:val="24"/>
        </w:rPr>
        <w:t>; verklaringen over gedrag, reputatie of conflicten</w:t>
      </w:r>
    </w:p>
    <w:p>
      <w:pPr>
        <w:pStyle w:val="para13"/>
        <w:numPr>
          <w:ilvl w:val="0"/>
          <w:numId w:val="2"/>
        </w:numPr>
        <w:ind w:left="1080" w:hanging="360"/>
        <w:rPr>
          <w:szCs w:val="24"/>
        </w:rPr>
      </w:pPr>
      <w:r>
        <w:rPr>
          <w:b/>
          <w:bCs/>
          <w:szCs w:val="24"/>
        </w:rPr>
        <w:t>Volmachten bij vertrek</w:t>
      </w:r>
      <w:r>
        <w:rPr>
          <w:szCs w:val="24"/>
        </w:rPr>
        <w:t>; wanneer iemand plotseling de stad verlaat of zijn zaken regelt</w:t>
      </w:r>
    </w:p>
    <w:p>
      <w:pPr>
        <w:pStyle w:val="para13"/>
        <w:numPr>
          <w:ilvl w:val="0"/>
          <w:numId w:val="2"/>
        </w:numPr>
        <w:ind w:left="1080" w:hanging="360"/>
        <w:rPr>
          <w:szCs w:val="24"/>
        </w:rPr>
      </w:pPr>
      <w:r>
        <w:rPr>
          <w:b/>
          <w:bCs/>
          <w:szCs w:val="24"/>
        </w:rPr>
        <w:t>Boedelbeschrijvingen in crisissituaties</w:t>
      </w:r>
      <w:r>
        <w:rPr>
          <w:szCs w:val="24"/>
        </w:rPr>
        <w:t>; bij reputatieschade, arrestatie of vlucht</w:t>
      </w:r>
    </w:p>
    <w:p>
      <w:pPr>
        <w:pStyle w:val="para13"/>
        <w:numPr>
          <w:ilvl w:val="0"/>
          <w:numId w:val="2"/>
        </w:numPr>
        <w:ind w:left="1080" w:hanging="360"/>
        <w:rPr>
          <w:szCs w:val="24"/>
        </w:rPr>
      </w:pPr>
      <w:r>
        <w:rPr>
          <w:b/>
          <w:bCs/>
          <w:szCs w:val="24"/>
        </w:rPr>
        <w:t>Verbanningsakten en stedelijke resoluties</w:t>
      </w:r>
      <w:r>
        <w:rPr>
          <w:szCs w:val="24"/>
        </w:rPr>
        <w:t>; bestuurlijke maatregelen zonder formeel strafproces</w:t>
      </w:r>
    </w:p>
    <w:p>
      <w:pPr>
        <w:pStyle w:val="para13"/>
        <w:numPr>
          <w:ilvl w:val="0"/>
          <w:numId w:val="2"/>
        </w:numPr>
        <w:ind w:left="1080" w:hanging="360"/>
        <w:rPr>
          <w:szCs w:val="24"/>
        </w:rPr>
      </w:pPr>
      <w:r>
        <w:rPr>
          <w:b/>
          <w:bCs/>
          <w:szCs w:val="24"/>
        </w:rPr>
        <w:t>Schuldbekentenissen of afspraken</w:t>
      </w:r>
      <w:r>
        <w:rPr>
          <w:szCs w:val="24"/>
        </w:rPr>
        <w:t>; waarin eer, gedrag of conflicten worden genoemd</w:t>
      </w:r>
    </w:p>
    <w:p>
      <w:pPr>
        <w:pStyle w:val="para13"/>
        <w:numPr>
          <w:ilvl w:val="0"/>
          <w:numId w:val="2"/>
        </w:numPr>
        <w:ind w:left="1080" w:hanging="360"/>
        <w:rPr>
          <w:szCs w:val="24"/>
        </w:rPr>
      </w:pPr>
      <w:r>
        <w:rPr>
          <w:b/>
          <w:bCs/>
          <w:szCs w:val="24"/>
        </w:rPr>
        <w:t>Verklaringen over omgang, ruzies of ‘schandalen’</w:t>
      </w:r>
      <w:r>
        <w:rPr>
          <w:szCs w:val="24"/>
        </w:rPr>
      </w:r>
    </w:p>
    <w:p>
      <w:pPr>
        <w:rPr>
          <w:rFonts w:ascii="Calibri" w:hAnsi="Calibri"/>
        </w:rPr>
      </w:pPr>
      <w:r>
        <w:rPr>
          <w:szCs w:val="24"/>
        </w:rPr>
        <w:t xml:space="preserve">Deze akten registreren niet het delict zelf, maar de sociale en materiële gevolgen ervan. </w:t>
      </w:r>
      <w:r>
        <w:rPr>
          <w:rFonts w:ascii="Calibri" w:hAnsi="Calibri"/>
          <w:szCs w:val="24"/>
        </w:rPr>
        <w:t xml:space="preserve">Zij laten zien hoe individuen en hun omgeving reageerden op verdenking: door vertrek te formaliseren, bezit veilig te stellen, verklaringen af te leggen of relaties juridisch te herstructureren. Daarmee vormen zij een </w:t>
      </w:r>
      <w:r>
        <w:rPr>
          <w:rFonts w:ascii="Calibri" w:hAnsi="Calibri"/>
          <w:szCs w:val="24"/>
        </w:rPr>
        <w:t>bronlaag</w:t>
      </w:r>
      <w:r>
        <w:rPr>
          <w:rFonts w:ascii="Calibri" w:hAnsi="Calibri"/>
          <w:szCs w:val="24"/>
        </w:rPr>
        <w:t xml:space="preserve"> die niet de vervolging documenteert, maar de sociale dynamiek eromheen.</w:t>
      </w:r>
      <w:r>
        <w:rPr>
          <w:rFonts w:ascii="Calibri" w:hAnsi="Calibri"/>
        </w:rPr>
      </w:r>
    </w:p>
    <w:p>
      <w:pPr>
        <w:pStyle w:val="para4"/>
      </w:pPr>
      <w:r>
        <w:t>Voor welke perioden is deze bron vooral bruikbaar?</w:t>
      </w:r>
    </w:p>
    <w:p>
      <w:pPr>
        <w:rPr>
          <w:szCs w:val="24"/>
        </w:rPr>
      </w:pPr>
      <w:r>
        <w:rPr>
          <w:szCs w:val="24"/>
        </w:rPr>
        <w:t>Notariële en administratieve bronnen worden vooral rijk en systematisch vanaf de late zestiende eeuw, wanneer het stedelijke notariaat in de Republiek professionaliseert en grote hoeveelheden akten produceert. In Amsterdam begint het omvangrijke notarieel archief in 1578, waarna het in de zeventiende eeuw explosief groeit. Voor de periode vóór 1578 zijn dergelijke sporen gefragmenteerder en eerder te vinden in stedelijke administratieve reeksen, zoals;</w:t>
      </w:r>
    </w:p>
    <w:p>
      <w:pPr>
        <w:pStyle w:val="para13"/>
        <w:numPr>
          <w:ilvl w:val="0"/>
          <w:numId w:val="19"/>
        </w:numPr>
        <w:ind w:left="720" w:hanging="360"/>
        <w:spacing/>
        <w:jc w:val="both"/>
        <w:rPr>
          <w:szCs w:val="24"/>
        </w:rPr>
      </w:pPr>
      <w:r>
        <w:rPr>
          <w:szCs w:val="24"/>
        </w:rPr>
        <w:t>schepenbankregisters</w:t>
      </w:r>
    </w:p>
    <w:p>
      <w:pPr>
        <w:pStyle w:val="para13"/>
        <w:numPr>
          <w:ilvl w:val="0"/>
          <w:numId w:val="19"/>
        </w:numPr>
        <w:ind w:left="720" w:hanging="360"/>
        <w:spacing/>
        <w:jc w:val="both"/>
        <w:rPr>
          <w:szCs w:val="24"/>
        </w:rPr>
      </w:pPr>
      <w:r>
        <w:rPr>
          <w:szCs w:val="24"/>
        </w:rPr>
        <w:t>poortersboeken</w:t>
      </w:r>
    </w:p>
    <w:p>
      <w:pPr>
        <w:pStyle w:val="para13"/>
        <w:numPr>
          <w:ilvl w:val="0"/>
          <w:numId w:val="19"/>
        </w:numPr>
        <w:ind w:left="720" w:hanging="360"/>
        <w:spacing/>
        <w:jc w:val="both"/>
        <w:rPr>
          <w:szCs w:val="24"/>
        </w:rPr>
      </w:pPr>
      <w:r>
        <w:rPr>
          <w:szCs w:val="24"/>
        </w:rPr>
        <w:t>verbanningsregisters</w:t>
      </w:r>
    </w:p>
    <w:p>
      <w:pPr>
        <w:pStyle w:val="para13"/>
        <w:numPr>
          <w:ilvl w:val="0"/>
          <w:numId w:val="19"/>
        </w:numPr>
        <w:ind w:left="720" w:hanging="360"/>
        <w:spacing/>
        <w:jc w:val="both"/>
        <w:rPr>
          <w:szCs w:val="24"/>
        </w:rPr>
      </w:pPr>
      <w:r>
        <w:rPr>
          <w:szCs w:val="24"/>
        </w:rPr>
        <w:t>stadsrekeningen</w:t>
      </w:r>
    </w:p>
    <w:p>
      <w:pPr>
        <w:pStyle w:val="para13"/>
        <w:numPr>
          <w:ilvl w:val="0"/>
          <w:numId w:val="19"/>
        </w:numPr>
        <w:ind w:left="720" w:hanging="360"/>
        <w:spacing/>
        <w:jc w:val="both"/>
        <w:rPr>
          <w:szCs w:val="24"/>
        </w:rPr>
      </w:pPr>
      <w:r>
        <w:rPr>
          <w:szCs w:val="24"/>
        </w:rPr>
        <w:t>secretariearchieven</w:t>
      </w:r>
    </w:p>
    <w:p>
      <w:pPr>
        <w:pStyle w:val="para13"/>
        <w:numPr>
          <w:ilvl w:val="0"/>
          <w:numId w:val="19"/>
        </w:numPr>
        <w:ind w:left="720" w:hanging="360"/>
        <w:spacing/>
        <w:jc w:val="both"/>
        <w:rPr>
          <w:szCs w:val="24"/>
        </w:rPr>
      </w:pPr>
      <w:r>
        <w:rPr>
          <w:szCs w:val="24"/>
        </w:rPr>
        <w:t>kerkelijke administraties (bijvoorbeeld visitaties of tuchtregisters)</w:t>
      </w:r>
    </w:p>
    <w:p>
      <w:pPr>
        <w:rPr>
          <w:szCs w:val="24"/>
        </w:rPr>
      </w:pPr>
      <w:r>
        <w:rPr>
          <w:szCs w:val="24"/>
        </w:rPr>
        <w:t>Binnen de periode 1450–1729 zijn deze bronnen vooral waardevol omdat zij zicht geven op situaties waarin verdenking niet noodzakelijk uitmondde in een strafproces. Zij maken zichtbaar hoe lokale machtsverhoudingen, bestuurlijke prioriteiten en sociale reputaties bepaalden of een verdenking werd geformaliseerd of juist buiten de rechtspraak bleef. In deze grijze zone, tussen roddel, reputatie, bestuurlijke interventie en formele vervolging, zijn notariële en administratieve akten vaak de enige bron die laat zien dat er iets speelde, ook wanneer strafdossiers ontbreken.</w:t>
      </w:r>
    </w:p>
    <w:p>
      <w:pPr>
        <w:pStyle w:val="para4"/>
      </w:pPr>
      <w:r>
        <w:t>Waar te vinden?</w:t>
      </w:r>
    </w:p>
    <w:p>
      <w:pPr>
        <w:rPr>
          <w:szCs w:val="24"/>
        </w:rPr>
      </w:pPr>
      <w:r>
        <w:rPr>
          <w:szCs w:val="24"/>
        </w:rPr>
        <w:t>Notariële en administratieve bronnen bevinden zich voornamelijk in stedelijke archieven, omdat het notariaat in de vroegmoderne Nederlanden een uitgesproken stedelijke instelling was. Het Stadsarchief Amsterdam is het bekendste voorbeeld, met een omvangrijk en goed ontsloten notarieel archief dat vanaf 1578 doorlopend is bewaard. De protocollen van Amsterdamse notarissen zijn grotendeels gedigitaliseerd en via online indexen te doorzoeken op naam, datum en notaris.</w:t>
      </w:r>
    </w:p>
    <w:p>
      <w:pPr>
        <w:rPr>
          <w:szCs w:val="24"/>
        </w:rPr>
      </w:pPr>
      <w:r>
        <w:rPr>
          <w:szCs w:val="24"/>
        </w:rPr>
        <w:t>Andere grote steden, zoals Leiden, Haarlem, Rotterdam, Utrecht en Delft, bewaren eveneens notariële reeksen, maar de omvang en toegankelijkheid daarvan verschillen per stad. In sommige steden is het notarieel archief volledig geïnventariseerd en deels gedigitaliseerd; in andere steden zijn de protocollen alleen ter plaatse raadpleegbaar of slechts gedeeltelijk ontsloten. Buiten de grote steden kunnen relevante administratieve sporen ook opduiken in regionale archieven, vooral in reeksen van stedelijke secretarieën, schepenbanken, poortersboeken of verbanningsregisters.</w:t>
      </w:r>
    </w:p>
    <w:p>
      <w:pPr>
        <w:rPr>
          <w:szCs w:val="24"/>
        </w:rPr>
      </w:pPr>
      <w:r>
        <w:rPr>
          <w:szCs w:val="24"/>
        </w:rPr>
        <w:t>Voor onderzoekers betekent dit dat de vindplaats van notariële en administratieve bronnen sterk afhankelijk is van de lokale archiefstructuur. Amsterdam biedt uitzonderlijk rijke en toegankelijke reeksen, maar mag niet worden gezien als representatief voor alle steden. Het is daarom noodzakelijk om per stad of regio na te gaan welke notariële protocollen, administratieve registers of stedelijke reeksen bewaard zijn gebleven en hoe deze zijn ontsloten.</w:t>
      </w:r>
    </w:p>
    <w:p>
      <w:pPr>
        <w:rPr>
          <w:szCs w:val="24"/>
        </w:rPr>
      </w:pPr>
      <w:r>
        <w:rPr>
          <w:szCs w:val="24"/>
        </w:rPr>
        <w:t>Notariële en administratieve bronnen bevinden zich voornamelijk in stedelijke archieven, omdat het notariaat in de vroegmoderne Nederlanden een stedelijke instelling was. De belangrijkste vindplaatsen zijn:</w:t>
      </w:r>
    </w:p>
    <w:p>
      <w:pPr>
        <w:rPr>
          <w:b/>
          <w:bCs/>
          <w:szCs w:val="24"/>
        </w:rPr>
      </w:pPr>
      <w:r>
        <w:rPr>
          <w:b/>
          <w:bCs/>
          <w:szCs w:val="24"/>
        </w:rPr>
        <w:t>Stedelijke archieven met notariële protocollen</w:t>
      </w:r>
    </w:p>
    <w:p>
      <w:pPr>
        <w:pStyle w:val="para13"/>
        <w:numPr>
          <w:ilvl w:val="0"/>
          <w:numId w:val="12"/>
        </w:numPr>
        <w:ind w:left="1080" w:hanging="360"/>
        <w:rPr>
          <w:szCs w:val="24"/>
        </w:rPr>
      </w:pPr>
      <w:r>
        <w:rPr>
          <w:b/>
          <w:bCs/>
          <w:szCs w:val="24"/>
        </w:rPr>
        <w:t>Stadsarchief Amsterdam</w:t>
      </w:r>
      <w:r>
        <w:rPr>
          <w:szCs w:val="24"/>
        </w:rPr>
        <w:t xml:space="preserve">; doorlopende reeksen vanaf 1578, inclusief protocollen van notarissen. </w:t>
      </w:r>
      <w:hyperlink r:id="rId18" w:history="1">
        <w:r>
          <w:rPr>
            <w:rStyle w:val="char26"/>
            <w:szCs w:val="24"/>
          </w:rPr>
          <w:t>Stadsarchief Amsterdam, Toegang 5075: Archief van de notarissen ter standplaats Amsterdam, 1578–1915.</w:t>
        </w:r>
      </w:hyperlink>
      <w:r>
        <w:rPr>
          <w:szCs w:val="24"/>
        </w:rPr>
        <w:t xml:space="preserve"> </w:t>
      </w:r>
      <w:r>
        <w:rPr>
          <w:szCs w:val="24"/>
        </w:rPr>
      </w:r>
    </w:p>
    <w:p>
      <w:pPr>
        <w:pStyle w:val="para13"/>
        <w:numPr>
          <w:ilvl w:val="0"/>
          <w:numId w:val="12"/>
        </w:numPr>
        <w:ind w:left="1080" w:hanging="360"/>
        <w:rPr>
          <w:szCs w:val="24"/>
        </w:rPr>
      </w:pPr>
      <w:r>
        <w:rPr>
          <w:b/>
          <w:bCs/>
          <w:szCs w:val="24"/>
        </w:rPr>
        <w:t>Erfgoed Leiden en Omstreken</w:t>
      </w:r>
      <w:r>
        <w:rPr>
          <w:szCs w:val="24"/>
        </w:rPr>
        <w:t xml:space="preserve">: protocollen van Leidse notarissen en stedelijke administraties. Heeft bijvoorbeeld ook de </w:t>
      </w:r>
      <w:hyperlink r:id="rId19" w:history="1">
        <w:r>
          <w:rPr>
            <w:rStyle w:val="char26"/>
            <w:szCs w:val="24"/>
          </w:rPr>
          <w:t>Plaatsingslijst notarieel archief Noordwijk (1620–1842), Toegang</w:t>
        </w:r>
        <w:r>
          <w:rPr>
            <w:rStyle w:val="char26"/>
            <w:szCs w:val="24"/>
          </w:rPr>
          <w:t xml:space="preserve"> </w:t>
        </w:r>
        <w:r>
          <w:rPr>
            <w:rStyle w:val="char26"/>
            <w:szCs w:val="24"/>
          </w:rPr>
          <w:t>0907A, gevormd door de notarissen ter standplaats</w:t>
        </w:r>
        <w:r>
          <w:rPr>
            <w:rStyle w:val="char26"/>
            <w:szCs w:val="24"/>
          </w:rPr>
          <w:t xml:space="preserve"> No</w:t>
        </w:r>
        <w:r>
          <w:rPr>
            <w:rStyle w:val="char26"/>
            <w:szCs w:val="24"/>
          </w:rPr>
          <w:t>ordwijk.</w:t>
        </w:r>
      </w:hyperlink>
      <w:r>
        <w:rPr>
          <w:szCs w:val="24"/>
        </w:rPr>
        <w:t xml:space="preserve"> </w:t>
      </w:r>
      <w:r>
        <w:rPr>
          <w:szCs w:val="24"/>
        </w:rPr>
      </w:r>
    </w:p>
    <w:p>
      <w:pPr>
        <w:pStyle w:val="para13"/>
        <w:numPr>
          <w:ilvl w:val="0"/>
          <w:numId w:val="12"/>
        </w:numPr>
        <w:ind w:left="1080" w:hanging="360"/>
        <w:rPr>
          <w:rFonts w:ascii="Calibri" w:hAnsi="Calibri"/>
          <w:b/>
          <w:bCs/>
          <w:szCs w:val="24"/>
        </w:rPr>
      </w:pPr>
      <w:r>
        <w:rPr>
          <w:b/>
          <w:bCs/>
          <w:szCs w:val="24"/>
        </w:rPr>
        <w:t>Noord</w:t>
        <w:noBreakHyphen/>
        <w:t xml:space="preserve">Hollands Archief; heeft meerdere notariële archieven, waaronder het </w:t>
      </w:r>
      <w:r>
        <w:rPr>
          <w:rFonts w:ascii="Calibri" w:hAnsi="Calibri"/>
          <w:b/>
          <w:bCs/>
          <w:szCs w:val="24"/>
        </w:rPr>
        <w:t>Notarieel archief Haarlem, 1570-1810</w:t>
      </w:r>
      <w:r>
        <w:rPr>
          <w:b/>
          <w:bCs/>
          <w:szCs w:val="24"/>
        </w:rPr>
        <w:t xml:space="preserve">, dat digitaal te doorzoeken is via </w:t>
      </w:r>
      <w:hyperlink r:id="rId20" w:history="1">
        <w:r>
          <w:rPr>
            <w:rStyle w:val="char26"/>
            <w:b/>
            <w:bCs/>
            <w:szCs w:val="24"/>
          </w:rPr>
          <w:t xml:space="preserve">deze </w:t>
        </w:r>
        <w:r>
          <w:rPr>
            <w:rStyle w:val="char26"/>
            <w:b/>
            <w:bCs/>
            <w:szCs w:val="24"/>
          </w:rPr>
          <w:t>Transkribus</w:t>
        </w:r>
        <w:r>
          <w:rPr>
            <w:rStyle w:val="char26"/>
            <w:b/>
            <w:bCs/>
            <w:szCs w:val="24"/>
          </w:rPr>
          <w:t>-pagina.</w:t>
        </w:r>
      </w:hyperlink>
    </w:p>
    <w:p>
      <w:pPr>
        <w:pStyle w:val="para13"/>
        <w:numPr>
          <w:ilvl w:val="0"/>
          <w:numId w:val="12"/>
        </w:numPr>
        <w:ind w:left="1080" w:hanging="360"/>
        <w:rPr>
          <w:b/>
          <w:bCs/>
          <w:szCs w:val="24"/>
        </w:rPr>
      </w:pPr>
      <w:r>
        <w:rPr>
          <w:b/>
          <w:bCs/>
          <w:szCs w:val="24"/>
        </w:rPr>
        <w:t xml:space="preserve">Stadsarchief Rotterdam, Delft, Utrecht </w:t>
      </w:r>
      <w:r>
        <w:rPr>
          <w:szCs w:val="24"/>
        </w:rPr>
        <w:t>en nog veel meer grote steden hebben een redelijk toegankelijk notarieel archief</w:t>
      </w:r>
      <w:r>
        <w:rPr>
          <w:b/>
          <w:bCs/>
          <w:szCs w:val="24"/>
        </w:rPr>
      </w:r>
    </w:p>
    <w:p>
      <w:pPr>
        <w:rPr>
          <w:b/>
          <w:bCs/>
          <w:szCs w:val="24"/>
        </w:rPr>
      </w:pPr>
      <w:r>
        <w:rPr>
          <w:b/>
          <w:bCs/>
          <w:szCs w:val="24"/>
        </w:rPr>
        <w:t>Regionale en lokale archieven</w:t>
      </w:r>
    </w:p>
    <w:p>
      <w:pPr>
        <w:pStyle w:val="para13"/>
        <w:numPr>
          <w:ilvl w:val="0"/>
          <w:numId w:val="12"/>
        </w:numPr>
        <w:ind w:left="1080" w:hanging="360"/>
        <w:rPr>
          <w:szCs w:val="24"/>
        </w:rPr>
      </w:pPr>
      <w:r>
        <w:rPr>
          <w:szCs w:val="24"/>
        </w:rPr>
        <w:t>In kleinere steden en regio’s bevinden notariële en administratieve bronnen zich vaak in:</w:t>
      </w:r>
    </w:p>
    <w:p>
      <w:pPr>
        <w:pStyle w:val="para13"/>
        <w:numPr>
          <w:ilvl w:val="1"/>
          <w:numId w:val="12"/>
        </w:numPr>
        <w:ind w:left="1800" w:hanging="360"/>
        <w:rPr>
          <w:szCs w:val="24"/>
        </w:rPr>
      </w:pPr>
      <w:r>
        <w:rPr>
          <w:b/>
          <w:bCs/>
          <w:szCs w:val="24"/>
        </w:rPr>
        <w:t>regionale archieven</w:t>
      </w:r>
      <w:r>
        <w:rPr>
          <w:szCs w:val="24"/>
        </w:rPr>
        <w:t xml:space="preserve"> (bijv. Gooi- en Vechtstreek, Rijnstreek, West</w:t>
        <w:noBreakHyphen/>
        <w:t>Brabant)</w:t>
      </w:r>
    </w:p>
    <w:p>
      <w:pPr>
        <w:pStyle w:val="para13"/>
        <w:numPr>
          <w:ilvl w:val="1"/>
          <w:numId w:val="12"/>
        </w:numPr>
        <w:ind w:left="1800" w:hanging="360"/>
        <w:rPr>
          <w:szCs w:val="24"/>
        </w:rPr>
      </w:pPr>
      <w:r>
        <w:rPr>
          <w:b/>
          <w:bCs/>
          <w:szCs w:val="24"/>
        </w:rPr>
        <w:t>secretariearchieven</w:t>
      </w:r>
      <w:r>
        <w:rPr>
          <w:szCs w:val="24"/>
        </w:rPr>
      </w:r>
    </w:p>
    <w:p>
      <w:pPr>
        <w:pStyle w:val="para13"/>
        <w:numPr>
          <w:ilvl w:val="1"/>
          <w:numId w:val="12"/>
        </w:numPr>
        <w:ind w:left="1800" w:hanging="360"/>
        <w:rPr>
          <w:szCs w:val="24"/>
        </w:rPr>
      </w:pPr>
      <w:r>
        <w:rPr>
          <w:b/>
          <w:bCs/>
          <w:szCs w:val="24"/>
        </w:rPr>
        <w:t>schepenbankregisters</w:t>
      </w:r>
      <w:r>
        <w:rPr>
          <w:szCs w:val="24"/>
        </w:rPr>
      </w:r>
    </w:p>
    <w:p>
      <w:pPr>
        <w:pStyle w:val="para13"/>
        <w:numPr>
          <w:ilvl w:val="1"/>
          <w:numId w:val="12"/>
        </w:numPr>
        <w:ind w:left="1800" w:hanging="360"/>
        <w:rPr>
          <w:szCs w:val="24"/>
        </w:rPr>
      </w:pPr>
      <w:r>
        <w:rPr>
          <w:b/>
          <w:bCs/>
          <w:szCs w:val="24"/>
        </w:rPr>
        <w:t>poortersboeken</w:t>
      </w:r>
      <w:r>
        <w:rPr>
          <w:szCs w:val="24"/>
        </w:rPr>
      </w:r>
    </w:p>
    <w:p>
      <w:pPr>
        <w:pStyle w:val="para13"/>
        <w:numPr>
          <w:ilvl w:val="1"/>
          <w:numId w:val="12"/>
        </w:numPr>
        <w:ind w:left="1800" w:hanging="360"/>
        <w:rPr>
          <w:szCs w:val="24"/>
        </w:rPr>
      </w:pPr>
      <w:r>
        <w:rPr>
          <w:b/>
          <w:bCs/>
          <w:szCs w:val="24"/>
        </w:rPr>
        <w:t>verbanningsregisters</w:t>
      </w:r>
      <w:r>
        <w:rPr>
          <w:szCs w:val="24"/>
        </w:rPr>
      </w:r>
    </w:p>
    <w:p>
      <w:pPr>
        <w:pStyle w:val="para13"/>
        <w:numPr>
          <w:ilvl w:val="1"/>
          <w:numId w:val="12"/>
        </w:numPr>
        <w:ind w:left="1800" w:hanging="360"/>
        <w:rPr>
          <w:szCs w:val="24"/>
        </w:rPr>
      </w:pPr>
      <w:r>
        <w:rPr>
          <w:b/>
          <w:bCs/>
          <w:szCs w:val="24"/>
        </w:rPr>
        <w:t>stadsrekeningen</w:t>
      </w:r>
      <w:r>
        <w:rPr>
          <w:szCs w:val="24"/>
        </w:rPr>
      </w:r>
    </w:p>
    <w:p>
      <w:pPr>
        <w:rPr>
          <w:b/>
          <w:bCs/>
          <w:szCs w:val="24"/>
        </w:rPr>
      </w:pPr>
      <w:r>
        <w:rPr>
          <w:b/>
          <w:bCs/>
          <w:szCs w:val="24"/>
        </w:rPr>
        <w:t>Digitale toegang</w:t>
      </w:r>
    </w:p>
    <w:p>
      <w:pPr>
        <w:pStyle w:val="para13"/>
        <w:numPr>
          <w:ilvl w:val="0"/>
          <w:numId w:val="12"/>
        </w:numPr>
        <w:ind w:left="1080" w:hanging="360"/>
        <w:rPr>
          <w:szCs w:val="24"/>
        </w:rPr>
      </w:pPr>
      <w:r>
        <w:rPr>
          <w:szCs w:val="24"/>
        </w:rPr>
        <w:t>Veel steden bieden naamindexen op notariële protocollen.</w:t>
      </w:r>
    </w:p>
    <w:p>
      <w:pPr>
        <w:pStyle w:val="para13"/>
        <w:numPr>
          <w:ilvl w:val="0"/>
          <w:numId w:val="12"/>
        </w:numPr>
        <w:ind w:left="1080" w:hanging="360"/>
        <w:rPr>
          <w:szCs w:val="24"/>
        </w:rPr>
      </w:pPr>
      <w:r>
        <w:rPr>
          <w:szCs w:val="24"/>
        </w:rPr>
        <w:t>Voor Amsterdam zijn protocollen bovendien full</w:t>
        <w:noBreakHyphen/>
        <w:t xml:space="preserve">text doorzoekbaar via digitale edities, mede door het project </w:t>
      </w:r>
      <w:hyperlink r:id="rId21" w:history="1">
        <w:r>
          <w:rPr>
            <w:rStyle w:val="char26"/>
            <w:szCs w:val="24"/>
          </w:rPr>
          <w:t>Alle Amsterdamse Akten.</w:t>
        </w:r>
      </w:hyperlink>
      <w:r>
        <w:rPr>
          <w:szCs w:val="24"/>
        </w:rPr>
        <w:t xml:space="preserve"> </w:t>
      </w:r>
      <w:r>
        <w:rPr>
          <w:szCs w:val="24"/>
        </w:rPr>
      </w:r>
    </w:p>
    <w:p>
      <w:pPr>
        <w:pStyle w:val="para13"/>
        <w:numPr>
          <w:ilvl w:val="0"/>
          <w:numId w:val="12"/>
        </w:numPr>
        <w:ind w:left="1080" w:hanging="360"/>
        <w:rPr>
          <w:szCs w:val="24"/>
        </w:rPr>
      </w:pPr>
      <w:r>
        <w:rPr>
          <w:szCs w:val="24"/>
        </w:rPr>
        <w:t>Andere steden bieden deels gedigitaliseerde protocollen of scans op aanvraag aan.</w:t>
      </w:r>
    </w:p>
    <w:p>
      <w:pPr>
        <w:rPr>
          <w:szCs w:val="24"/>
        </w:rPr>
      </w:pPr>
      <w:r>
        <w:rPr>
          <w:szCs w:val="24"/>
        </w:rPr>
      </w:r>
    </w:p>
    <w:p>
      <w:pPr>
        <w:pStyle w:val="para4"/>
      </w:pPr>
      <w:r>
        <w:t>Hoe is de bron overgeleverd en welke beperkingen brengt dat met zich mee?</w:t>
      </w:r>
    </w:p>
    <w:p>
      <w:pPr>
        <w:rPr>
          <w:szCs w:val="24"/>
        </w:rPr>
      </w:pPr>
      <w:r>
        <w:rPr>
          <w:szCs w:val="24"/>
        </w:rPr>
        <w:t>De overlevering van notariële en administratieve bronnen wordt bepaald door de manier waarop het vroegmoderne notariaat functioneerde. Notarissen werkten als zelfstandige ambtsdragers binnen stedelijke kaders en hielden hun eigen protocollen bij. Daardoor bestaat het notarieel archief uit individuele reeksen per notaris, vaak in snel, functioneel handschrift en bedoeld voor intern gebruik. De kwaliteit van registratie varieert sterk: sommige akten zijn zorgvuldig geformuleerd, andere zijn haastig genoteerd of missen context.</w:t>
      </w:r>
    </w:p>
    <w:p>
      <w:pPr>
        <w:rPr>
          <w:szCs w:val="24"/>
        </w:rPr>
      </w:pPr>
      <w:r>
        <w:rPr>
          <w:szCs w:val="24"/>
        </w:rPr>
        <w:t>De ordening van deze archieven is doorgaans gebaseerd op de notaris zelf, niet op onderwerp of type handeling. Relevante akten kunnen daardoor verspreid liggen over tientallen protocollen. Dit maakt systematisch zoeken lastig, zeker wanneer een stad veel notarissen kende of wanneer protocollen omvangrijk zijn.</w:t>
      </w:r>
    </w:p>
    <w:p>
      <w:pPr>
        <w:rPr>
          <w:szCs w:val="24"/>
        </w:rPr>
      </w:pPr>
      <w:r>
        <w:rPr>
          <w:szCs w:val="24"/>
        </w:rPr>
        <w:t>De mate van overlevering verschilt per stad. In Amsterdam is het notarieel archief vanaf 1578 vrijwel doorlopend bewaard (toegang 5075). In Noordwijk bestaat een goed bewaarde reeks vanaf 1620 (toegang 0907A). In andere steden zijn protocollen soms incompleet, verloren gegaan of slechts gedeeltelijk geïnventariseerd. Hierdoor ontstaat een geografische ongelijkheid: waar veel bewaard is, zien we meer; waar minder bewaard is, lijkt minder te zijn gebeurd.</w:t>
      </w:r>
    </w:p>
    <w:p>
      <w:pPr>
        <w:rPr>
          <w:szCs w:val="24"/>
        </w:rPr>
      </w:pPr>
      <w:r>
        <w:rPr>
          <w:szCs w:val="24"/>
        </w:rPr>
        <w:t>Digitalisering heeft de toegankelijkheid vergroot, maar brengt nieuwe beperkingen met zich mee. Indexen registreren doorgaans namen, data en notarissen, maar zelden de volledige semantische rijkdom van vroegmoderne taal. Eufemistische termen of impliciete verwijzingen naar conflicten blijven daardoor vaak onzichtbaar. Full</w:t>
        <w:noBreakHyphen/>
        <w:t>text doorzoekbaarheid bestaat slechts voor enkele steden en is afhankelijk van moderne transcripties of OCR</w:t>
        <w:noBreakHyphen/>
        <w:t>kwaliteit.</w:t>
      </w:r>
    </w:p>
    <w:p>
      <w:pPr>
        <w:rPr>
          <w:szCs w:val="24"/>
        </w:rPr>
      </w:pPr>
      <w:r>
        <w:rPr>
          <w:szCs w:val="24"/>
        </w:rPr>
        <w:t>Ten slotte registreerden notariële akten alleen wat cliënten wilden laten vastleggen. Veel sociale processen, conflicten of reputatieschade worden alleen zichtbaar wanneer betrokkenen een juridische noodzaak zagen om iets te formaliseren. De afwezigheid van een akte betekent dus niet dat er niets speelde, maar dat een situatie niet werd gejuridiseerd. Dit creëert een structurele vertekening richting personen met toegang tot notariële instrumenten.</w:t>
      </w:r>
    </w:p>
    <w:p>
      <w:pPr>
        <w:pStyle w:val="para4"/>
      </w:pPr>
      <w:r>
        <w:t>Wat laat de bron zien?</w:t>
      </w:r>
    </w:p>
    <w:p>
      <w:r>
        <w:t>Notariële en administratieve bronnen laten vooral zien hoe verdenking, conflict of bestuurlijk ingrijpen zich vertalen in concrete handelingen die juridisch moesten worden vastgelegd. Zij tonen niet het delict zelf, maar de reacties erop. In de context van sodomie gaat het vaak om indirecte sporen die zichtbaar worden wanneer individuen of hun omgeving stappen zetten om schade te beperken, vertrek te regelen of relaties te herstructureren.</w:t>
      </w:r>
    </w:p>
    <w:p>
      <w:r>
        <w:t>Deze bronnen laten onder meer zien:</w:t>
      </w:r>
    </w:p>
    <w:p>
      <w:pPr>
        <w:pStyle w:val="para13"/>
        <w:numPr>
          <w:ilvl w:val="0"/>
          <w:numId w:val="4"/>
        </w:numPr>
        <w:ind w:left="1080" w:hanging="360"/>
      </w:pPr>
      <w:r>
        <w:rPr>
          <w:b/>
          <w:bCs/>
        </w:rPr>
        <w:t>Formalisering van vertrek:</w:t>
      </w:r>
      <w:r>
        <w:t xml:space="preserve"> Bijvoorbeeld wanneer iemand plotseling de stad verlaat en een volmacht laat opstellen om zaken af te handelen.</w:t>
      </w:r>
    </w:p>
    <w:p>
      <w:pPr>
        <w:pStyle w:val="para13"/>
        <w:numPr>
          <w:ilvl w:val="0"/>
          <w:numId w:val="4"/>
        </w:numPr>
        <w:ind w:left="1080" w:hanging="360"/>
      </w:pPr>
      <w:r>
        <w:rPr>
          <w:b/>
          <w:bCs/>
        </w:rPr>
        <w:t>Boedelafwikkeling in crisissituaties:</w:t>
      </w:r>
      <w:r>
        <w:t xml:space="preserve"> boedelbeschrijvingen of afspraken die worden gemaakt wanneer reputatieschade, arrestatie of vlucht de huishouding ontwrichten.</w:t>
      </w:r>
    </w:p>
    <w:p>
      <w:pPr>
        <w:pStyle w:val="para13"/>
        <w:numPr>
          <w:ilvl w:val="0"/>
          <w:numId w:val="4"/>
        </w:numPr>
        <w:ind w:left="1080" w:hanging="360"/>
      </w:pPr>
      <w:r>
        <w:rPr>
          <w:b/>
          <w:bCs/>
        </w:rPr>
        <w:t>Verklaringen over conflicten of omgang:</w:t>
      </w:r>
      <w:r>
        <w:t xml:space="preserve"> Attestaties en getuigenverklaringen waarin buren, collega’s of familieleden gedrag, ruzies of ‘schandalen’ beschrijven.</w:t>
      </w:r>
    </w:p>
    <w:p>
      <w:pPr>
        <w:pStyle w:val="para13"/>
        <w:numPr>
          <w:ilvl w:val="0"/>
          <w:numId w:val="4"/>
        </w:numPr>
        <w:ind w:left="1080" w:hanging="360"/>
      </w:pPr>
      <w:r>
        <w:rPr>
          <w:b/>
          <w:bCs/>
        </w:rPr>
        <w:t>Bestuurlijke maatregelen:</w:t>
      </w:r>
      <w:r>
        <w:t xml:space="preserve"> Verbanningsakten, stedelijke resoluties of administratieve registraties waarin vertrek, uitsluiting of toezicht wordt vastgelegd.</w:t>
      </w:r>
    </w:p>
    <w:p>
      <w:pPr>
        <w:pStyle w:val="para13"/>
        <w:numPr>
          <w:ilvl w:val="0"/>
          <w:numId w:val="4"/>
        </w:numPr>
        <w:ind w:left="1080" w:hanging="360"/>
      </w:pPr>
      <w:r>
        <w:rPr>
          <w:b/>
          <w:bCs/>
        </w:rPr>
        <w:t>Juridische herstructurering van relaties:</w:t>
      </w:r>
      <w:r>
        <w:t xml:space="preserve"> Schuldbekentenissen, afspraken of contracten die worden aangepast wanneer sociale of morele druk toeneemt.</w:t>
      </w:r>
    </w:p>
    <w:p>
      <w:r>
        <w:t>In al deze gevallen maken notariële en administratieve bronnen zichtbaar hoe een verdenking doorwerkt in het sociale en materiële leven van betrokkenen. Zij tonen de dynamiek van reputatie, roddel, conflict en bestuurlijke interventie — precies die processen die vaak buiten formele strafdossiers blijven.</w:t>
      </w:r>
    </w:p>
    <w:p>
      <w:r/>
    </w:p>
    <w:p>
      <w:pPr>
        <w:pStyle w:val="para4"/>
      </w:pPr>
      <w:r>
        <w:t>Wat laat de bron niet zien?</w:t>
      </w:r>
    </w:p>
    <w:p>
      <w:r>
        <w:t>Notariële en administratieve bronnen zijn zelden expliciet over sodomie. Omdat zij gericht zijn op rechtsgeldigheid, eigendom, afspraken en bestuurlijke helderheid, worden gevoelige kwesties vaak verhuld door stiltes, eufemismen of omwegen. De aanleiding voor vertrek, boedelafwikkeling of verbanning blijft meestal impliciet, terwijl alleen de handeling zelf wordt geregistreerd.</w:t>
      </w:r>
    </w:p>
    <w:p>
      <w:r>
        <w:t>Deze bronsoort laat niet zien:</w:t>
      </w:r>
    </w:p>
    <w:p>
      <w:pPr>
        <w:pStyle w:val="para13"/>
        <w:numPr>
          <w:ilvl w:val="0"/>
          <w:numId w:val="24"/>
        </w:numPr>
        <w:ind w:left="1080" w:hanging="360"/>
      </w:pPr>
      <w:r>
        <w:rPr>
          <w:b/>
          <w:bCs/>
        </w:rPr>
        <w:t>Het delict zelf:</w:t>
      </w:r>
      <w:r>
        <w:t xml:space="preserve"> Notariële akten bevatten geen beschrijvingen van sodomie, geen verhoren en geen strafrechtelijke kwalificaties.</w:t>
      </w:r>
    </w:p>
    <w:p>
      <w:pPr>
        <w:pStyle w:val="para13"/>
        <w:numPr>
          <w:ilvl w:val="0"/>
          <w:numId w:val="24"/>
        </w:numPr>
        <w:ind w:left="1080" w:hanging="360"/>
      </w:pPr>
      <w:r>
        <w:rPr>
          <w:b/>
          <w:bCs/>
        </w:rPr>
        <w:t>De motieven achter een handeling:</w:t>
      </w:r>
      <w:r>
        <w:t xml:space="preserve"> Een volmacht of vertrekverklaring vermeldt zelden waarom iemand vertrekt; de context moet elders worden gezocht.</w:t>
      </w:r>
    </w:p>
    <w:p>
      <w:pPr>
        <w:pStyle w:val="para13"/>
        <w:numPr>
          <w:ilvl w:val="0"/>
          <w:numId w:val="24"/>
        </w:numPr>
        <w:ind w:left="1080" w:hanging="360"/>
      </w:pPr>
      <w:r>
        <w:rPr>
          <w:b/>
          <w:bCs/>
        </w:rPr>
        <w:t>De volledige sociale werkelijkheid:</w:t>
      </w:r>
      <w:r>
        <w:t xml:space="preserve"> Alleen situaties die betrokkenen wilden formaliseren worden zichtbaar. Informele conflicten, roddels of spanningen blijven buiten beeld.</w:t>
      </w:r>
    </w:p>
    <w:p>
      <w:pPr>
        <w:pStyle w:val="para13"/>
        <w:numPr>
          <w:ilvl w:val="0"/>
          <w:numId w:val="24"/>
        </w:numPr>
        <w:ind w:left="1080" w:hanging="360"/>
      </w:pPr>
      <w:r>
        <w:rPr>
          <w:b/>
          <w:bCs/>
        </w:rPr>
        <w:t>De ervaringen van mensen zonder toegang tot het notariaat:</w:t>
      </w:r>
      <w:r>
        <w:t xml:space="preserve"> Personen met minder middelen, lagere sociale status of beperkte juridische kennis verschijnen minder vaak in deze archieven.</w:t>
      </w:r>
    </w:p>
    <w:p>
      <w:pPr>
        <w:pStyle w:val="para13"/>
        <w:numPr>
          <w:ilvl w:val="0"/>
          <w:numId w:val="24"/>
        </w:numPr>
        <w:ind w:left="1080" w:hanging="360"/>
      </w:pPr>
      <w:r>
        <w:rPr>
          <w:b/>
          <w:bCs/>
        </w:rPr>
        <w:t>Kwantitatieve patronen:</w:t>
      </w:r>
      <w:r>
        <w:t xml:space="preserve"> Omdat registratie afhankelijk is van individuele keuzes en lokale omstandigheden, zijn deze bronnen ongeschikt voor uitspraken over frequentie of prevalentie.</w:t>
      </w:r>
    </w:p>
    <w:p>
      <w:r>
        <w:t>Notariële en administratieve bronnen zijn daarmee vooral geschikt voor microhistorische</w:t>
      </w:r>
      <w:r>
        <w:rPr>
          <w:b/>
          <w:bCs/>
        </w:rPr>
        <w:t xml:space="preserve"> </w:t>
      </w:r>
      <w:r>
        <w:t>reconstructies, maar niet voor het vaststellen van algemene trends of het direct identificeren van sodomie zonder aanvullende bronnen.</w:t>
      </w:r>
    </w:p>
    <w:p>
      <w:pPr>
        <w:pStyle w:val="para4"/>
      </w:pPr>
      <w:r>
        <w:t>Veelvoorkomende valkuilen</w:t>
      </w:r>
    </w:p>
    <w:p>
      <w:r>
        <w:t>Bij het gebruik van notariële en administratieve bronnen liggen verschillende valkuilen op de loer. Deze bronsoort vraagt om zorgvuldige interpretatie, omdat zij indirecte en vaak fragmentarische sporen bevat.</w:t>
      </w:r>
    </w:p>
    <w:p>
      <w:pPr>
        <w:pStyle w:val="para13"/>
        <w:numPr>
          <w:ilvl w:val="0"/>
          <w:numId w:val="24"/>
        </w:numPr>
        <w:ind w:left="1080" w:hanging="360"/>
      </w:pPr>
      <w:r>
        <w:rPr>
          <w:b/>
          <w:bCs/>
        </w:rPr>
        <w:t xml:space="preserve">Overinterpretatie van stiltes en omwegen. </w:t>
      </w:r>
      <w:r>
        <w:t xml:space="preserve">Een volmacht, vertrekverklaring of boedelafwikkeling is </w:t>
      </w:r>
      <w:r>
        <w:rPr>
          <w:b/>
          <w:bCs/>
        </w:rPr>
        <w:t>niet automatisch</w:t>
      </w:r>
      <w:r>
        <w:t xml:space="preserve"> bewijs van sodomie. Notariële akten registreren alleen wat cliënten wilden formaliseren; de aanleiding blijft vaak bewust impliciet.</w:t>
      </w:r>
    </w:p>
    <w:p>
      <w:pPr>
        <w:pStyle w:val="para13"/>
        <w:numPr>
          <w:ilvl w:val="0"/>
          <w:numId w:val="24"/>
        </w:numPr>
        <w:ind w:left="1080" w:hanging="360"/>
      </w:pPr>
      <w:r>
        <w:rPr>
          <w:b/>
          <w:bCs/>
        </w:rPr>
        <w:t xml:space="preserve">Vertrouwen op digitale indexen als volledige weergave. </w:t>
      </w:r>
      <w:r>
        <w:t xml:space="preserve">Indexen bevatten meestal alleen </w:t>
      </w:r>
      <w:r>
        <w:rPr>
          <w:b/>
          <w:bCs/>
        </w:rPr>
        <w:t>namen, data en notarissen</w:t>
      </w:r>
      <w:r>
        <w:t>. Eufemismen, contextwoorden en impliciete verwijzingen worden niet geïndexeerd. Zaken waarin sodomie een rol speelt blijven daardoor vaak onzichtbaar wanneer men uitsluitend op trefwoorden zoekt.</w:t>
      </w:r>
    </w:p>
    <w:p>
      <w:pPr>
        <w:pStyle w:val="para13"/>
        <w:numPr>
          <w:ilvl w:val="0"/>
          <w:numId w:val="24"/>
        </w:numPr>
        <w:ind w:left="1080" w:hanging="360"/>
      </w:pPr>
      <w:r>
        <w:rPr>
          <w:b/>
          <w:bCs/>
        </w:rPr>
        <w:t xml:space="preserve">Zoeken zonder context. </w:t>
      </w:r>
      <w:r>
        <w:t>Notariële akten moeten altijd worden gelezen in samenhang met andere bronnen. Zonder triangulatie met processtukken, ordonnanties, rekeningen of consistorieboeken ontstaat gemakkelijk een verkeerd beeld van de situatie.</w:t>
      </w:r>
    </w:p>
    <w:p>
      <w:pPr>
        <w:pStyle w:val="para13"/>
        <w:numPr>
          <w:ilvl w:val="0"/>
          <w:numId w:val="24"/>
        </w:numPr>
        <w:ind w:left="1080" w:hanging="360"/>
      </w:pPr>
      <w:r>
        <w:rPr>
          <w:b/>
          <w:bCs/>
        </w:rPr>
        <w:t>Speld</w:t>
        <w:noBreakHyphen/>
        <w:t>in</w:t>
        <w:noBreakHyphen/>
        <w:t>een</w:t>
        <w:noBreakHyphen/>
        <w:t>hooiberg</w:t>
        <w:noBreakHyphen/>
        <w:t xml:space="preserve">effect. </w:t>
      </w:r>
      <w:r>
        <w:t>In steden met veel notarissen (zoals Amsterdam) liggen relevante akten verspreid over tientallen protocollen. Zonder digitalisering of gerichte naamzoektocht is systematisch zoeken vrijwel onmogelijk.</w:t>
      </w:r>
    </w:p>
    <w:p>
      <w:pPr>
        <w:pStyle w:val="para13"/>
        <w:numPr>
          <w:ilvl w:val="0"/>
          <w:numId w:val="24"/>
        </w:numPr>
        <w:ind w:left="1080" w:hanging="360"/>
      </w:pPr>
      <w:r>
        <w:rPr>
          <w:b/>
          <w:bCs/>
        </w:rPr>
        <w:t xml:space="preserve">Sociale vertekening. </w:t>
      </w:r>
      <w:r>
        <w:t>Niet iedereen verschijnt in notariële archieven. Personen met minder middelen, lagere status of beperkte toegang tot juridische instrumenten zijn ondervertegenwoordigd. De bron weerspiegelt dus vooral de ervaringen van groepen die het notariaat konden inschakelen.</w:t>
      </w:r>
    </w:p>
    <w:p>
      <w:pPr>
        <w:pStyle w:val="para13"/>
        <w:numPr>
          <w:ilvl w:val="0"/>
          <w:numId w:val="24"/>
        </w:numPr>
        <w:ind w:left="1080" w:hanging="360"/>
      </w:pPr>
      <w:r>
        <w:rPr>
          <w:b/>
          <w:bCs/>
        </w:rPr>
        <w:t xml:space="preserve">Moderne aannames projecteren op vroegmoderne taal. </w:t>
      </w:r>
      <w:r>
        <w:t>Eufemismen, vage termen of beschrijvingen van omgang moeten worden gelezen in hun historische semantische context. Een term als “schandelijke omgang” kan veel betekenen en verwijst niet automatisch naar sodomie.</w:t>
      </w:r>
    </w:p>
    <w:p>
      <w:r/>
    </w:p>
    <w:p>
      <w:pPr>
        <w:pStyle w:val="para4"/>
      </w:pPr>
      <w:r>
        <w:t>Praktische tips</w:t>
      </w:r>
    </w:p>
    <w:p>
      <w:r>
        <w:t>Notariële en administratieve bronnen vragen om een combinatie van gericht zoeken en nauwkeurige lezing. De volgende tips helpen om deze bronsoort effectief te gebruiken:</w:t>
      </w:r>
    </w:p>
    <w:p>
      <w:pPr>
        <w:pStyle w:val="para13"/>
        <w:numPr>
          <w:ilvl w:val="0"/>
          <w:numId w:val="20"/>
        </w:numPr>
        <w:ind w:left="1080" w:hanging="360"/>
      </w:pPr>
      <w:r>
        <w:rPr>
          <w:b/>
          <w:bCs/>
        </w:rPr>
        <w:t>Lees altijd de volledige akte.</w:t>
      </w:r>
      <w:r>
        <w:t xml:space="preserve"> Indexen geven alleen namen en data; de relevante context staat vrijwel altijd in de tekst zelf.</w:t>
      </w:r>
    </w:p>
    <w:p>
      <w:pPr>
        <w:pStyle w:val="para13"/>
        <w:numPr>
          <w:ilvl w:val="0"/>
          <w:numId w:val="20"/>
        </w:numPr>
        <w:ind w:left="1080" w:hanging="360"/>
      </w:pPr>
      <w:r>
        <w:rPr>
          <w:b/>
          <w:bCs/>
        </w:rPr>
        <w:t>Werk via personen.</w:t>
      </w:r>
      <w:r>
        <w:t xml:space="preserve"> Begin met namen uit andere bronnen (processtukken, consistories, rekeningen) en zoek vervolgens naar notariële akten waarin zij voorkomen.</w:t>
      </w:r>
    </w:p>
    <w:p>
      <w:pPr>
        <w:pStyle w:val="para13"/>
        <w:numPr>
          <w:ilvl w:val="0"/>
          <w:numId w:val="20"/>
        </w:numPr>
        <w:ind w:left="1080" w:hanging="360"/>
      </w:pPr>
      <w:r>
        <w:rPr>
          <w:b/>
          <w:bCs/>
        </w:rPr>
        <w:t>Controleer opeenvolgende akten van dezelfde notaris.</w:t>
      </w:r>
      <w:r>
        <w:t xml:space="preserve"> Relevante stukken liggen vaak in clusters, bijvoorbeeld meerdere verklaringen rond één conflict of vertrek.</w:t>
      </w:r>
    </w:p>
    <w:p>
      <w:pPr>
        <w:pStyle w:val="para13"/>
        <w:numPr>
          <w:ilvl w:val="0"/>
          <w:numId w:val="20"/>
        </w:numPr>
        <w:ind w:left="1080" w:hanging="360"/>
      </w:pPr>
      <w:r>
        <w:rPr>
          <w:b/>
          <w:bCs/>
        </w:rPr>
        <w:t>Let op timing.</w:t>
      </w:r>
      <w:r>
        <w:t xml:space="preserve"> Akten die kort vóór of kort ná een verdenking zijn opgesteld (volmachten, boedelbeschrijvingen, verklaringen) zijn vaak het meest informatief.</w:t>
      </w:r>
    </w:p>
    <w:p>
      <w:pPr>
        <w:pStyle w:val="para13"/>
        <w:numPr>
          <w:ilvl w:val="0"/>
          <w:numId w:val="20"/>
        </w:numPr>
        <w:ind w:left="1080" w:hanging="360"/>
      </w:pPr>
      <w:r>
        <w:rPr>
          <w:b/>
          <w:bCs/>
        </w:rPr>
        <w:t>Trianguleer altijd.</w:t>
      </w:r>
      <w:r>
        <w:t xml:space="preserve"> Combineer notariële akten met processtukken, ordonnanties, rekeningen of kerkelijke bronnen om de context te reconstrueren.</w:t>
      </w:r>
    </w:p>
    <w:p>
      <w:pPr>
        <w:pStyle w:val="para13"/>
        <w:numPr>
          <w:ilvl w:val="0"/>
          <w:numId w:val="20"/>
        </w:numPr>
        <w:ind w:left="1080" w:hanging="360"/>
      </w:pPr>
      <w:r>
        <w:rPr>
          <w:b/>
          <w:bCs/>
        </w:rPr>
        <w:t>Noteer de institutionele context.</w:t>
      </w:r>
      <w:r>
        <w:t xml:space="preserve"> Verschillen tussen notarissen, steden en administratieve praktijken bepalen wat wel en niet zichtbaar wordt.</w:t>
      </w:r>
    </w:p>
    <w:p>
      <w:r/>
    </w:p>
    <w:p>
      <w:pPr>
        <w:pStyle w:val="para2"/>
      </w:pPr>
      <w:bookmarkStart w:id="12" w:name="_Toc232185149"/>
      <w:r>
        <w:t>2.5 Overzicht zoektermen</w:t>
      </w:r>
      <w:bookmarkEnd w:id="12"/>
      <w:r/>
    </w:p>
    <w:p>
      <w:pPr>
        <w:rPr>
          <w:szCs w:val="24"/>
        </w:rPr>
      </w:pPr>
      <w:r>
        <w:rPr>
          <w:szCs w:val="24"/>
        </w:rPr>
        <w:t>Gebruik deze termen bij het zoeken in inventarissen, databases en gedrukte bronnen; zoek eventueel ook op spellingvarianten en verwante formuleringen.</w:t>
      </w:r>
    </w:p>
    <w:p>
      <w:pPr>
        <w:pStyle w:val="para4"/>
      </w:pPr>
      <w:r>
        <w:t>Latijn</w:t>
      </w:r>
    </w:p>
    <w:p>
      <w:pPr>
        <w:pStyle w:val="para13"/>
        <w:numPr>
          <w:ilvl w:val="0"/>
          <w:numId w:val="5"/>
        </w:numPr>
        <w:ind w:left="1080" w:hanging="360"/>
        <w:rPr>
          <w:szCs w:val="24"/>
        </w:rPr>
      </w:pPr>
      <w:r>
        <w:rPr>
          <w:i/>
          <w:iCs/>
          <w:szCs w:val="24"/>
        </w:rPr>
        <w:t>vitia contra naturam</w:t>
      </w:r>
      <w:r>
        <w:rPr>
          <w:szCs w:val="24"/>
        </w:rPr>
      </w:r>
    </w:p>
    <w:p>
      <w:pPr>
        <w:pStyle w:val="para13"/>
        <w:numPr>
          <w:ilvl w:val="0"/>
          <w:numId w:val="5"/>
        </w:numPr>
        <w:ind w:left="1080" w:hanging="360"/>
        <w:rPr>
          <w:szCs w:val="24"/>
        </w:rPr>
      </w:pPr>
      <w:r>
        <w:rPr>
          <w:i/>
          <w:iCs/>
          <w:szCs w:val="24"/>
        </w:rPr>
        <w:t>peccatum Sodomiticum</w:t>
      </w:r>
      <w:r>
        <w:rPr>
          <w:szCs w:val="24"/>
        </w:rPr>
      </w:r>
    </w:p>
    <w:p>
      <w:pPr>
        <w:pStyle w:val="para13"/>
        <w:numPr>
          <w:ilvl w:val="0"/>
          <w:numId w:val="5"/>
        </w:numPr>
        <w:ind w:left="1080" w:hanging="360"/>
        <w:rPr>
          <w:szCs w:val="24"/>
        </w:rPr>
      </w:pPr>
      <w:r>
        <w:rPr>
          <w:i/>
          <w:iCs/>
          <w:szCs w:val="24"/>
        </w:rPr>
        <w:t>nefandum crimen</w:t>
      </w:r>
      <w:r>
        <w:rPr>
          <w:szCs w:val="24"/>
        </w:rPr>
      </w:r>
    </w:p>
    <w:p>
      <w:pPr>
        <w:pStyle w:val="para13"/>
        <w:numPr>
          <w:ilvl w:val="0"/>
          <w:numId w:val="5"/>
        </w:numPr>
        <w:ind w:left="1080" w:hanging="360"/>
        <w:rPr>
          <w:szCs w:val="24"/>
        </w:rPr>
      </w:pPr>
      <w:r>
        <w:rPr>
          <w:i/>
          <w:iCs/>
          <w:szCs w:val="24"/>
        </w:rPr>
        <w:t>abominatio</w:t>
      </w:r>
      <w:r>
        <w:rPr>
          <w:szCs w:val="24"/>
        </w:rPr>
      </w:r>
    </w:p>
    <w:p>
      <w:pPr>
        <w:pStyle w:val="para13"/>
        <w:numPr>
          <w:ilvl w:val="0"/>
          <w:numId w:val="5"/>
        </w:numPr>
        <w:ind w:left="1080" w:hanging="360"/>
        <w:rPr>
          <w:szCs w:val="24"/>
        </w:rPr>
      </w:pPr>
      <w:r>
        <w:rPr>
          <w:i/>
          <w:iCs/>
          <w:szCs w:val="24"/>
        </w:rPr>
        <w:t>contra naturam</w:t>
      </w:r>
      <w:r>
        <w:rPr>
          <w:szCs w:val="24"/>
        </w:rPr>
      </w:r>
    </w:p>
    <w:p>
      <w:pPr>
        <w:pStyle w:val="para4"/>
      </w:pPr>
      <w:r>
        <w:t>Vroegmodern Nederlands</w:t>
      </w:r>
    </w:p>
    <w:p>
      <w:pPr>
        <w:pStyle w:val="para13"/>
        <w:numPr>
          <w:ilvl w:val="0"/>
          <w:numId w:val="26"/>
        </w:numPr>
        <w:ind w:left="1080" w:hanging="360"/>
        <w:rPr>
          <w:szCs w:val="24"/>
        </w:rPr>
      </w:pPr>
      <w:r>
        <w:rPr>
          <w:i/>
          <w:iCs/>
          <w:szCs w:val="24"/>
        </w:rPr>
        <w:t>vuyle zonde</w:t>
      </w:r>
      <w:r>
        <w:rPr>
          <w:szCs w:val="24"/>
        </w:rPr>
      </w:r>
    </w:p>
    <w:p>
      <w:pPr>
        <w:pStyle w:val="para13"/>
        <w:numPr>
          <w:ilvl w:val="0"/>
          <w:numId w:val="26"/>
        </w:numPr>
        <w:ind w:left="1080" w:hanging="360"/>
        <w:rPr>
          <w:szCs w:val="24"/>
        </w:rPr>
      </w:pPr>
      <w:r>
        <w:rPr>
          <w:i/>
          <w:iCs/>
          <w:szCs w:val="24"/>
        </w:rPr>
        <w:t>vuyle conversatie</w:t>
      </w:r>
      <w:r>
        <w:rPr>
          <w:szCs w:val="24"/>
        </w:rPr>
      </w:r>
    </w:p>
    <w:p>
      <w:pPr>
        <w:pStyle w:val="para13"/>
        <w:numPr>
          <w:ilvl w:val="0"/>
          <w:numId w:val="26"/>
        </w:numPr>
        <w:ind w:left="1080" w:hanging="360"/>
        <w:rPr>
          <w:szCs w:val="24"/>
        </w:rPr>
      </w:pPr>
      <w:r>
        <w:rPr>
          <w:i/>
          <w:iCs/>
          <w:szCs w:val="24"/>
        </w:rPr>
        <w:t>tegennatuurlijke daad</w:t>
      </w:r>
      <w:r>
        <w:rPr>
          <w:szCs w:val="24"/>
        </w:rPr>
      </w:r>
    </w:p>
    <w:p>
      <w:pPr>
        <w:pStyle w:val="para13"/>
        <w:numPr>
          <w:ilvl w:val="0"/>
          <w:numId w:val="26"/>
        </w:numPr>
        <w:ind w:left="1080" w:hanging="360"/>
        <w:rPr>
          <w:szCs w:val="24"/>
        </w:rPr>
      </w:pPr>
      <w:r>
        <w:rPr>
          <w:i/>
          <w:iCs/>
          <w:szCs w:val="24"/>
        </w:rPr>
        <w:t>schandelijke omgang</w:t>
      </w:r>
      <w:r>
        <w:rPr>
          <w:szCs w:val="24"/>
        </w:rPr>
      </w:r>
    </w:p>
    <w:p>
      <w:pPr>
        <w:pStyle w:val="para13"/>
        <w:numPr>
          <w:ilvl w:val="0"/>
          <w:numId w:val="26"/>
        </w:numPr>
        <w:ind w:left="1080" w:hanging="360"/>
        <w:rPr>
          <w:szCs w:val="24"/>
        </w:rPr>
      </w:pPr>
      <w:r>
        <w:rPr>
          <w:i/>
          <w:iCs/>
          <w:szCs w:val="24"/>
        </w:rPr>
        <w:t>onkuisheid</w:t>
      </w:r>
      <w:r>
        <w:rPr>
          <w:szCs w:val="24"/>
        </w:rPr>
      </w:r>
    </w:p>
    <w:p>
      <w:pPr>
        <w:pStyle w:val="para13"/>
        <w:numPr>
          <w:ilvl w:val="0"/>
          <w:numId w:val="26"/>
        </w:numPr>
        <w:ind w:left="1080" w:hanging="360"/>
        <w:rPr>
          <w:szCs w:val="24"/>
        </w:rPr>
      </w:pPr>
      <w:r>
        <w:rPr>
          <w:i/>
          <w:iCs/>
          <w:szCs w:val="24"/>
        </w:rPr>
        <w:t>boos bedrijf</w:t>
      </w:r>
      <w:r>
        <w:rPr>
          <w:szCs w:val="24"/>
        </w:rPr>
      </w:r>
    </w:p>
    <w:p>
      <w:pPr>
        <w:pStyle w:val="para13"/>
        <w:numPr>
          <w:ilvl w:val="0"/>
          <w:numId w:val="26"/>
        </w:numPr>
        <w:ind w:left="1080" w:hanging="360"/>
        <w:rPr>
          <w:szCs w:val="24"/>
        </w:rPr>
      </w:pPr>
      <w:r>
        <w:rPr>
          <w:i/>
          <w:iCs/>
          <w:szCs w:val="24"/>
        </w:rPr>
        <w:t>onreine omgang</w:t>
      </w:r>
      <w:r>
        <w:rPr>
          <w:szCs w:val="24"/>
        </w:rPr>
      </w:r>
    </w:p>
    <w:p>
      <w:pPr>
        <w:pStyle w:val="para13"/>
        <w:numPr>
          <w:ilvl w:val="0"/>
          <w:numId w:val="26"/>
        </w:numPr>
        <w:ind w:left="1080" w:hanging="360"/>
        <w:rPr>
          <w:szCs w:val="24"/>
        </w:rPr>
      </w:pPr>
      <w:r>
        <w:rPr>
          <w:i/>
          <w:iCs/>
          <w:szCs w:val="24"/>
        </w:rPr>
        <w:t>bougeren/bougerie</w:t>
      </w:r>
      <w:r>
        <w:rPr>
          <w:szCs w:val="24"/>
        </w:rPr>
        <w:t xml:space="preserve"> (seksuele omgang, vaak mannelijk-mannelijk)</w:t>
      </w:r>
    </w:p>
    <w:p>
      <w:pPr>
        <w:pStyle w:val="para13"/>
        <w:numPr>
          <w:ilvl w:val="0"/>
          <w:numId w:val="26"/>
        </w:numPr>
        <w:ind w:left="1080" w:hanging="360"/>
        <w:rPr>
          <w:szCs w:val="24"/>
        </w:rPr>
      </w:pPr>
      <w:r>
        <w:rPr>
          <w:i/>
          <w:iCs/>
          <w:szCs w:val="24"/>
        </w:rPr>
        <w:t>vuyle handeling</w:t>
      </w:r>
      <w:r>
        <w:rPr>
          <w:szCs w:val="24"/>
        </w:rPr>
      </w:r>
    </w:p>
    <w:p>
      <w:pPr>
        <w:pStyle w:val="para13"/>
        <w:numPr>
          <w:ilvl w:val="0"/>
          <w:numId w:val="26"/>
        </w:numPr>
        <w:ind w:left="1080" w:hanging="360"/>
        <w:rPr>
          <w:szCs w:val="24"/>
        </w:rPr>
      </w:pPr>
      <w:r>
        <w:rPr>
          <w:i/>
          <w:iCs/>
          <w:szCs w:val="24"/>
        </w:rPr>
        <w:t>onreine conversatie</w:t>
      </w:r>
      <w:r>
        <w:rPr>
          <w:szCs w:val="24"/>
        </w:rPr>
      </w:r>
    </w:p>
    <w:p>
      <w:pPr>
        <w:pStyle w:val="para4"/>
      </w:pPr>
      <w:r>
        <w:t>Bijbel- en preektaal</w:t>
      </w:r>
    </w:p>
    <w:p>
      <w:pPr>
        <w:pStyle w:val="para13"/>
        <w:numPr>
          <w:ilvl w:val="0"/>
          <w:numId w:val="7"/>
        </w:numPr>
        <w:ind w:left="1080" w:hanging="360"/>
        <w:rPr>
          <w:szCs w:val="24"/>
        </w:rPr>
      </w:pPr>
      <w:r>
        <w:rPr>
          <w:i/>
          <w:iCs/>
          <w:szCs w:val="24"/>
        </w:rPr>
        <w:t>Sodom</w:t>
      </w:r>
      <w:r>
        <w:rPr>
          <w:szCs w:val="24"/>
        </w:rPr>
        <w:t xml:space="preserve">, </w:t>
      </w:r>
      <w:r>
        <w:rPr>
          <w:i/>
          <w:iCs/>
          <w:szCs w:val="24"/>
        </w:rPr>
        <w:t>Gomorra</w:t>
      </w:r>
      <w:r>
        <w:rPr>
          <w:szCs w:val="24"/>
        </w:rPr>
      </w:r>
    </w:p>
    <w:p>
      <w:pPr>
        <w:pStyle w:val="para13"/>
        <w:numPr>
          <w:ilvl w:val="0"/>
          <w:numId w:val="7"/>
        </w:numPr>
        <w:ind w:left="1080" w:hanging="360"/>
        <w:rPr>
          <w:szCs w:val="24"/>
        </w:rPr>
      </w:pPr>
      <w:r>
        <w:rPr>
          <w:i/>
          <w:iCs/>
          <w:szCs w:val="24"/>
        </w:rPr>
        <w:t>gruwel</w:t>
      </w:r>
      <w:r>
        <w:rPr>
          <w:szCs w:val="24"/>
        </w:rPr>
        <w:t xml:space="preserve">, </w:t>
      </w:r>
      <w:r>
        <w:rPr>
          <w:i/>
          <w:iCs/>
          <w:szCs w:val="24"/>
        </w:rPr>
        <w:t>verderf</w:t>
      </w:r>
      <w:r>
        <w:rPr>
          <w:szCs w:val="24"/>
        </w:rPr>
        <w:t xml:space="preserve">, </w:t>
      </w:r>
      <w:r>
        <w:rPr>
          <w:i/>
          <w:iCs/>
          <w:szCs w:val="24"/>
        </w:rPr>
        <w:t>verwoesting</w:t>
      </w:r>
      <w:r>
        <w:rPr>
          <w:szCs w:val="24"/>
        </w:rPr>
        <w:t xml:space="preserve">, </w:t>
      </w:r>
      <w:r>
        <w:rPr>
          <w:i/>
          <w:iCs/>
          <w:szCs w:val="24"/>
        </w:rPr>
        <w:t>vuur</w:t>
      </w:r>
      <w:r>
        <w:rPr>
          <w:szCs w:val="24"/>
        </w:rPr>
      </w:r>
    </w:p>
    <w:p>
      <w:pPr>
        <w:rPr>
          <w:szCs w:val="24"/>
        </w:rPr>
      </w:pPr>
      <w:r>
        <w:rPr>
          <w:noProof/>
        </w:rPr>
        <mc:AlternateContent>
          <mc:Choice Requires="wps">
            <w:drawing>
              <wp:anchor distT="45720" distB="45720" distL="114300" distR="114300" simplePos="0" relativeHeight="251658242" behindDoc="1" locked="0" layoutInCell="0" hidden="0" allowOverlap="1">
                <wp:simplePos x="0" y="0"/>
                <wp:positionH relativeFrom="column">
                  <wp:posOffset>-360680</wp:posOffset>
                </wp:positionH>
                <wp:positionV relativeFrom="page">
                  <wp:posOffset>3996055</wp:posOffset>
                </wp:positionV>
                <wp:extent cx="6416040" cy="6043295"/>
                <wp:effectExtent l="38100" t="38100" r="38100" b="38100"/>
                <wp:wrapTopAndBottom/>
                <wp:docPr id="2" name="Tekstvak 3"/>
                <wp:cNvGraphicFramePr/>
                <a:graphic xmlns:a="http://schemas.openxmlformats.org/drawingml/2006/main">
                  <a:graphicData uri="http://schemas.microsoft.com/office/word/2010/wordprocessingShape">
                    <wps:wsp>
                      <wps:cNvSpPr>
                        <a:extLst>
                          <a:ext uri="sm">
                            <sm:smNativeData xmlns:sm="sm" val="SMDATA_15_swU0ahMAAAAlAAAAZAAAAE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0BAAAAIQAAAAAAAAAAAAAAAAAAAgAAAMj9//8AAAAAAAAAAJUYAAB4JwAALSUAABgAAABRAwAAlRgAACgAAAAIAAAAAQAAAAEAAAAwAAAAFAAAAAAAAAAAAP//AAABAAAA//8AAAEA"/>
                          </a:ext>
                        </a:extLst>
                      </wps:cNvSpPr>
                      <wps:spPr>
                        <a:xfrm>
                          <a:off x="0" y="0"/>
                          <a:ext cx="6416040" cy="6043295"/>
                        </a:xfrm>
                        <a:prstGeom prst="rect">
                          <a:avLst/>
                        </a:prstGeom>
                        <a:solidFill>
                          <a:srgbClr val="C0CAB5"/>
                        </a:solidFill>
                        <a:ln w="38100">
                          <a:solidFill>
                            <a:srgbClr val="A4AE93"/>
                          </a:solidFill>
                        </a:ln>
                      </wps:spPr>
                      <wps:txbx>
                        <w:txbxContent>
                          <w:p>
                            <w:pPr>
                              <w:ind w:left="-142"/>
                              <w:rPr>
                                <w:b/>
                                <w:bCs/>
                                <w:sz w:val="28"/>
                                <w:szCs w:val="28"/>
                              </w:rPr>
                            </w:pPr>
                            <w:r>
                              <w:rPr>
                                <w:b/>
                                <w:bCs/>
                                <w:sz w:val="28"/>
                                <w:szCs w:val="28"/>
                              </w:rPr>
                              <w:t xml:space="preserve">Gebruikte literatuur </w:t>
                            </w:r>
                          </w:p>
                          <w:p>
                            <w:pPr>
                              <w:ind w:left="-142"/>
                              <w:rPr>
                                <w:i/>
                                <w:iCs/>
                                <w:sz w:val="22"/>
                                <w:szCs w:val="22"/>
                              </w:rPr>
                            </w:pPr>
                            <w:r>
                              <w:rPr>
                                <w:b/>
                                <w:bCs/>
                                <w:sz w:val="22"/>
                                <w:szCs w:val="22"/>
                              </w:rPr>
                              <w:t>Helmers, Helmer. 2011</w:t>
                            </w:r>
                            <w:r>
                              <w:rPr>
                                <w:b/>
                                <w:bCs/>
                                <w:i/>
                                <w:iCs/>
                                <w:sz w:val="22"/>
                                <w:szCs w:val="22"/>
                              </w:rPr>
                              <w:t>. Pamfletten en Publieke Opinie in de Vroegmoderne Nederlanden.</w:t>
                            </w:r>
                            <w:r>
                              <w:rPr>
                                <w:b/>
                                <w:bCs/>
                                <w:sz w:val="22"/>
                                <w:szCs w:val="22"/>
                              </w:rPr>
                              <w:t xml:space="preserve"> Amsterdam: AUP.</w:t>
                            </w:r>
                            <w:r>
                              <w:rPr>
                                <w:i/>
                                <w:iCs/>
                                <w:sz w:val="22"/>
                                <w:szCs w:val="22"/>
                              </w:rPr>
                              <w:t xml:space="preserve"> Voor pamfletcultuur, publieke opinie en drukpraktijken.</w:t>
                            </w:r>
                            <w:r>
                              <w:rPr>
                                <w:i/>
                                <w:iCs/>
                                <w:sz w:val="22"/>
                                <w:szCs w:val="22"/>
                              </w:rPr>
                            </w:r>
                          </w:p>
                          <w:p>
                            <w:pPr>
                              <w:ind w:left="-142"/>
                              <w:rPr>
                                <w:i/>
                                <w:iCs/>
                                <w:sz w:val="22"/>
                                <w:szCs w:val="22"/>
                              </w:rPr>
                            </w:pPr>
                            <w:r>
                              <w:rPr>
                                <w:b/>
                                <w:bCs/>
                                <w:sz w:val="22"/>
                                <w:szCs w:val="22"/>
                              </w:rPr>
                              <w:t xml:space="preserve">Noordam, Dirk Jaap. 1995. </w:t>
                            </w:r>
                            <w:r>
                              <w:rPr>
                                <w:b/>
                                <w:bCs/>
                                <w:i/>
                                <w:iCs/>
                                <w:sz w:val="22"/>
                                <w:szCs w:val="22"/>
                              </w:rPr>
                              <w:t>Riskante relaties: Vijf eeuwen homoseksualiteit in Nederland, 1233–1733</w:t>
                            </w:r>
                            <w:r>
                              <w:rPr>
                                <w:b/>
                                <w:bCs/>
                                <w:sz w:val="22"/>
                                <w:szCs w:val="22"/>
                              </w:rPr>
                              <w:t>. Hilversum: Verloren.</w:t>
                            </w:r>
                            <w:r>
                              <w:rPr>
                                <w:i/>
                                <w:iCs/>
                                <w:sz w:val="22"/>
                                <w:szCs w:val="22"/>
                              </w:rPr>
                              <w:t xml:space="preserve"> Gebruikt voor lokale machtsverhoudingen, bestuurlijke interventies en vroegmoderne vervolgingspraktijken.</w:t>
                            </w:r>
                            <w:r>
                              <w:rPr>
                                <w:i/>
                                <w:iCs/>
                                <w:sz w:val="22"/>
                                <w:szCs w:val="22"/>
                              </w:rPr>
                            </w:r>
                          </w:p>
                          <w:p>
                            <w:pPr>
                              <w:ind w:left="-142"/>
                              <w:rPr>
                                <w:i/>
                                <w:iCs/>
                                <w:sz w:val="22"/>
                                <w:szCs w:val="22"/>
                              </w:rPr>
                            </w:pPr>
                            <w:r>
                              <w:rPr>
                                <w:b/>
                                <w:bCs/>
                                <w:sz w:val="22"/>
                                <w:szCs w:val="22"/>
                              </w:rPr>
                              <w:t xml:space="preserve">Reinders, Jirsi. 2023. “De ontsluiting van het Amsterdamse notariële archief.” </w:t>
                            </w:r>
                            <w:r>
                              <w:rPr>
                                <w:b/>
                                <w:bCs/>
                                <w:i/>
                                <w:iCs/>
                                <w:sz w:val="22"/>
                                <w:szCs w:val="22"/>
                              </w:rPr>
                              <w:t xml:space="preserve">TSEG </w:t>
                            </w:r>
                            <w:r>
                              <w:rPr>
                                <w:b/>
                                <w:bCs/>
                                <w:sz w:val="22"/>
                                <w:szCs w:val="22"/>
                              </w:rPr>
                              <w:t>20 (3): 189–200.</w:t>
                            </w:r>
                            <w:r>
                              <w:rPr>
                                <w:i/>
                                <w:iCs/>
                                <w:sz w:val="22"/>
                                <w:szCs w:val="22"/>
                              </w:rPr>
                              <w:t xml:space="preserve"> Cruciaal voor inzicht in digitalisering, toegankelijkheid en archiefvorming van notariële protocollen.</w:t>
                            </w:r>
                            <w:r>
                              <w:rPr>
                                <w:i/>
                                <w:iCs/>
                                <w:sz w:val="22"/>
                                <w:szCs w:val="22"/>
                              </w:rPr>
                            </w:r>
                          </w:p>
                          <w:p>
                            <w:pPr>
                              <w:ind w:left="-142"/>
                              <w:rPr>
                                <w:i/>
                                <w:iCs/>
                                <w:sz w:val="22"/>
                                <w:szCs w:val="22"/>
                              </w:rPr>
                            </w:pPr>
                            <w:r>
                              <w:rPr>
                                <w:b/>
                                <w:bCs/>
                                <w:sz w:val="22"/>
                                <w:szCs w:val="22"/>
                                <w:lang w:val="en-us"/>
                              </w:rPr>
                              <w:t xml:space="preserve">Roelens, Jonas. 2024. </w:t>
                            </w:r>
                            <w:r>
                              <w:rPr>
                                <w:b/>
                                <w:bCs/>
                                <w:i/>
                                <w:iCs/>
                                <w:sz w:val="22"/>
                                <w:szCs w:val="22"/>
                                <w:lang w:val="en-us"/>
                              </w:rPr>
                              <w:t>Citizens and Sodomites: Persecution and Perception of Sodomy in the Southern Low Countries (1400–1700).</w:t>
                            </w:r>
                            <w:r>
                              <w:rPr>
                                <w:b/>
                                <w:bCs/>
                                <w:sz w:val="22"/>
                                <w:szCs w:val="22"/>
                                <w:lang w:val="en-us"/>
                              </w:rPr>
                              <w:t xml:space="preserve"> </w:t>
                            </w:r>
                            <w:r>
                              <w:rPr>
                                <w:b/>
                                <w:bCs/>
                                <w:sz w:val="22"/>
                                <w:szCs w:val="22"/>
                              </w:rPr>
                              <w:t>Leiden: Brill.</w:t>
                            </w:r>
                            <w:r>
                              <w:rPr>
                                <w:i/>
                                <w:iCs/>
                                <w:sz w:val="22"/>
                                <w:szCs w:val="22"/>
                              </w:rPr>
                              <w:t xml:space="preserve"> Voor reputatie, roddel en bestuurlijke logica in de Zuidelijke Nederlanden.</w:t>
                            </w:r>
                            <w:r>
                              <w:rPr>
                                <w:i/>
                                <w:iCs/>
                                <w:sz w:val="22"/>
                                <w:szCs w:val="22"/>
                              </w:rPr>
                            </w:r>
                          </w:p>
                          <w:p>
                            <w:pPr>
                              <w:ind w:left="-142"/>
                              <w:rPr>
                                <w:b/>
                                <w:bCs/>
                                <w:sz w:val="28"/>
                                <w:szCs w:val="28"/>
                              </w:rPr>
                            </w:pPr>
                            <w:r>
                              <w:rPr>
                                <w:b/>
                                <w:bCs/>
                                <w:sz w:val="28"/>
                                <w:szCs w:val="28"/>
                              </w:rPr>
                              <w:t>Aanbevolen literatuur voor verdieping</w:t>
                            </w:r>
                          </w:p>
                          <w:p>
                            <w:pPr>
                              <w:ind w:left="-142"/>
                              <w:rPr>
                                <w:b/>
                                <w:bCs/>
                                <w:i/>
                                <w:iCs/>
                                <w:sz w:val="22"/>
                                <w:szCs w:val="22"/>
                              </w:rPr>
                            </w:pPr>
                            <w:r>
                              <w:rPr>
                                <w:b/>
                                <w:bCs/>
                                <w:sz w:val="22"/>
                                <w:szCs w:val="22"/>
                              </w:rPr>
                              <w:t xml:space="preserve">Boer, Dick E. H. de, en Erik Cordfunke. 1997. </w:t>
                            </w:r>
                            <w:r>
                              <w:rPr>
                                <w:b/>
                                <w:bCs/>
                                <w:i/>
                                <w:iCs/>
                                <w:sz w:val="22"/>
                                <w:szCs w:val="22"/>
                              </w:rPr>
                              <w:t>Recht en onrecht in de Middeleeuwen</w:t>
                            </w:r>
                            <w:r>
                              <w:rPr>
                                <w:b/>
                                <w:bCs/>
                                <w:sz w:val="22"/>
                                <w:szCs w:val="22"/>
                              </w:rPr>
                              <w:t>. Zutphen: Walburg Pers.</w:t>
                            </w:r>
                            <w:r>
                              <w:rPr>
                                <w:b/>
                                <w:bCs/>
                                <w:i/>
                                <w:iCs/>
                                <w:sz w:val="22"/>
                                <w:szCs w:val="22"/>
                              </w:rPr>
                              <w:t xml:space="preserve"> </w:t>
                            </w:r>
                            <w:r>
                              <w:rPr>
                                <w:i/>
                                <w:iCs/>
                                <w:sz w:val="22"/>
                                <w:szCs w:val="22"/>
                              </w:rPr>
                              <w:t>Voor middeleeuwse rechtspraak, procedurele context en juridische logica</w:t>
                            </w:r>
                            <w:r>
                              <w:rPr>
                                <w:b/>
                                <w:bCs/>
                                <w:i/>
                                <w:iCs/>
                                <w:sz w:val="22"/>
                                <w:szCs w:val="22"/>
                              </w:rPr>
                              <w:t>.</w:t>
                            </w:r>
                            <w:r>
                              <w:rPr>
                                <w:b/>
                                <w:bCs/>
                                <w:i/>
                                <w:iCs/>
                                <w:sz w:val="22"/>
                                <w:szCs w:val="22"/>
                              </w:rPr>
                            </w:r>
                          </w:p>
                          <w:p>
                            <w:pPr>
                              <w:ind w:left="-142"/>
                              <w:rPr>
                                <w:i/>
                                <w:iCs/>
                                <w:sz w:val="22"/>
                                <w:szCs w:val="22"/>
                              </w:rPr>
                            </w:pPr>
                            <w:r>
                              <w:rPr>
                                <w:b/>
                                <w:bCs/>
                                <w:sz w:val="22"/>
                                <w:szCs w:val="22"/>
                              </w:rPr>
                              <w:t xml:space="preserve">Grijzenhout, Frans, ed. 2007. </w:t>
                            </w:r>
                            <w:r>
                              <w:rPr>
                                <w:b/>
                                <w:bCs/>
                                <w:i/>
                                <w:iCs/>
                                <w:sz w:val="22"/>
                                <w:szCs w:val="22"/>
                              </w:rPr>
                              <w:t xml:space="preserve">Erfgoed: De geschiedenis van een begrip. </w:t>
                            </w:r>
                            <w:r>
                              <w:rPr>
                                <w:b/>
                                <w:bCs/>
                                <w:sz w:val="22"/>
                                <w:szCs w:val="22"/>
                              </w:rPr>
                              <w:t>Amsterdam: Amsterdam University Press</w:t>
                            </w:r>
                            <w:r>
                              <w:rPr>
                                <w:b/>
                                <w:bCs/>
                                <w:i/>
                                <w:iCs/>
                                <w:sz w:val="22"/>
                                <w:szCs w:val="22"/>
                              </w:rPr>
                              <w:t xml:space="preserve">. </w:t>
                            </w:r>
                            <w:r>
                              <w:rPr>
                                <w:i/>
                                <w:iCs/>
                                <w:sz w:val="22"/>
                                <w:szCs w:val="22"/>
                              </w:rPr>
                              <w:t>Voor het historiseren van begrippen en het analyseren van semantische verschuivingen.</w:t>
                            </w:r>
                            <w:r>
                              <w:rPr>
                                <w:i/>
                                <w:iCs/>
                                <w:sz w:val="22"/>
                                <w:szCs w:val="22"/>
                              </w:rPr>
                            </w:r>
                          </w:p>
                          <w:p>
                            <w:pPr>
                              <w:ind w:left="-142"/>
                              <w:rPr>
                                <w:i/>
                                <w:iCs/>
                                <w:sz w:val="22"/>
                                <w:szCs w:val="22"/>
                              </w:rPr>
                            </w:pPr>
                            <w:r>
                              <w:rPr>
                                <w:b/>
                                <w:bCs/>
                                <w:sz w:val="22"/>
                                <w:szCs w:val="22"/>
                                <w:lang w:val="en-us"/>
                              </w:rPr>
                              <w:t xml:space="preserve">Nierop, Henk van. 2009. </w:t>
                            </w:r>
                            <w:r>
                              <w:rPr>
                                <w:b/>
                                <w:bCs/>
                                <w:i/>
                                <w:iCs/>
                                <w:sz w:val="22"/>
                                <w:szCs w:val="22"/>
                                <w:lang w:val="en-us"/>
                              </w:rPr>
                              <w:t>Treason in the Northern Quarter</w:t>
                            </w:r>
                            <w:r>
                              <w:rPr>
                                <w:b/>
                                <w:bCs/>
                                <w:sz w:val="22"/>
                                <w:szCs w:val="22"/>
                                <w:lang w:val="en-us"/>
                              </w:rPr>
                              <w:t xml:space="preserve">. </w:t>
                            </w:r>
                            <w:r>
                              <w:rPr>
                                <w:b/>
                                <w:bCs/>
                                <w:sz w:val="22"/>
                                <w:szCs w:val="22"/>
                              </w:rPr>
                              <w:t>Princeton: Princeton University Press.</w:t>
                            </w:r>
                            <w:r>
                              <w:rPr>
                                <w:b/>
                                <w:bCs/>
                                <w:i/>
                                <w:iCs/>
                                <w:sz w:val="22"/>
                                <w:szCs w:val="22"/>
                              </w:rPr>
                              <w:t xml:space="preserve"> </w:t>
                            </w:r>
                            <w:r>
                              <w:rPr>
                                <w:i/>
                                <w:iCs/>
                                <w:sz w:val="22"/>
                                <w:szCs w:val="22"/>
                              </w:rPr>
                              <w:t>Voor vroegmoderne procescultuur, bewijsvoering en bestuurlijke structuren.</w:t>
                            </w:r>
                            <w:r>
                              <w:rPr>
                                <w:i/>
                                <w:iCs/>
                                <w:sz w:val="22"/>
                                <w:szCs w:val="22"/>
                              </w:rPr>
                            </w:r>
                          </w:p>
                          <w:p>
                            <w:pPr>
                              <w:ind w:left="-142"/>
                              <w:rPr>
                                <w:b/>
                                <w:bCs/>
                                <w:sz w:val="22"/>
                                <w:szCs w:val="22"/>
                              </w:rPr>
                            </w:pPr>
                            <w:r>
                              <w:rPr>
                                <w:b/>
                                <w:bCs/>
                                <w:sz w:val="22"/>
                                <w:szCs w:val="22"/>
                                <w:lang w:val="en-us"/>
                              </w:rPr>
                              <w:t xml:space="preserve">Stoler, Ann Laura. 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Voor het lezen van archieven als producten van bureaucratische logica en machtsstructuren.</w:t>
                            </w:r>
                            <w:r>
                              <w:rPr>
                                <w:b/>
                                <w:bCs/>
                                <w:sz w:val="22"/>
                                <w:szCs w:val="22"/>
                              </w:rPr>
                            </w:r>
                          </w:p>
                          <w:p>
                            <w:pPr>
                              <w:ind w:left="-142"/>
                              <w:rPr>
                                <w:b/>
                                <w:b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Onmisbaar voor het concept archival silence; waarom bronnen zwijgen en wat dat betekent.</w:t>
                            </w:r>
                            <w:r>
                              <w:rPr>
                                <w:b/>
                                <w:bCs/>
                                <w:sz w:val="22"/>
                                <w:szCs w:val="22"/>
                              </w:rPr>
                            </w:r>
                          </w:p>
                          <w:p>
                            <w:pPr>
                              <w:ind w:left="-142"/>
                            </w:p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3" o:spid="_x0000_s1027" style="position:absolute;margin-left:-28.40pt;margin-top:314.65pt;mso-position-vertical-relative:page;width:505.20pt;height:475.85pt;z-index:251658242;mso-wrap-distance-left:9.00pt;mso-wrap-distance-top:3.60pt;mso-wrap-distance-right:9.00pt;mso-wrap-distance-bottom:3.60pt;mso-wrap-style:square" strokeweight="3.00pt" strokecolor="#a4ae93" fillcolor="#c0cab5" v:ext="SMDATA_15_swU0ahMAAAAlAAAAZAAAAE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0BAAAAIQAAAAAAAAAAAAAAAAAAAgAAAMj9//8AAAAAAAAAAJUYAAB4JwAALSUAABgAAABRAwAAlRg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rPr>
                      </w:pPr>
                      <w:r>
                        <w:rPr>
                          <w:b/>
                          <w:bCs/>
                          <w:sz w:val="28"/>
                          <w:szCs w:val="28"/>
                        </w:rPr>
                        <w:t xml:space="preserve">Gebruikte literatuur </w:t>
                      </w:r>
                    </w:p>
                    <w:p>
                      <w:pPr>
                        <w:ind w:left="-142"/>
                        <w:rPr>
                          <w:i/>
                          <w:iCs/>
                          <w:sz w:val="22"/>
                          <w:szCs w:val="22"/>
                        </w:rPr>
                      </w:pPr>
                      <w:r>
                        <w:rPr>
                          <w:b/>
                          <w:bCs/>
                          <w:sz w:val="22"/>
                          <w:szCs w:val="22"/>
                        </w:rPr>
                        <w:t>Helmers, Helmer. 2011</w:t>
                      </w:r>
                      <w:r>
                        <w:rPr>
                          <w:b/>
                          <w:bCs/>
                          <w:i/>
                          <w:iCs/>
                          <w:sz w:val="22"/>
                          <w:szCs w:val="22"/>
                        </w:rPr>
                        <w:t>. Pamfletten en Publieke Opinie in de Vroegmoderne Nederlanden.</w:t>
                      </w:r>
                      <w:r>
                        <w:rPr>
                          <w:b/>
                          <w:bCs/>
                          <w:sz w:val="22"/>
                          <w:szCs w:val="22"/>
                        </w:rPr>
                        <w:t xml:space="preserve"> Amsterdam: AUP.</w:t>
                      </w:r>
                      <w:r>
                        <w:rPr>
                          <w:i/>
                          <w:iCs/>
                          <w:sz w:val="22"/>
                          <w:szCs w:val="22"/>
                        </w:rPr>
                        <w:t xml:space="preserve"> Voor pamfletcultuur, publieke opinie en drukpraktijken.</w:t>
                      </w:r>
                      <w:r>
                        <w:rPr>
                          <w:i/>
                          <w:iCs/>
                          <w:sz w:val="22"/>
                          <w:szCs w:val="22"/>
                        </w:rPr>
                      </w:r>
                    </w:p>
                    <w:p>
                      <w:pPr>
                        <w:ind w:left="-142"/>
                        <w:rPr>
                          <w:i/>
                          <w:iCs/>
                          <w:sz w:val="22"/>
                          <w:szCs w:val="22"/>
                        </w:rPr>
                      </w:pPr>
                      <w:r>
                        <w:rPr>
                          <w:b/>
                          <w:bCs/>
                          <w:sz w:val="22"/>
                          <w:szCs w:val="22"/>
                        </w:rPr>
                        <w:t xml:space="preserve">Noordam, Dirk Jaap. 1995. </w:t>
                      </w:r>
                      <w:r>
                        <w:rPr>
                          <w:b/>
                          <w:bCs/>
                          <w:i/>
                          <w:iCs/>
                          <w:sz w:val="22"/>
                          <w:szCs w:val="22"/>
                        </w:rPr>
                        <w:t>Riskante relaties: Vijf eeuwen homoseksualiteit in Nederland, 1233–1733</w:t>
                      </w:r>
                      <w:r>
                        <w:rPr>
                          <w:b/>
                          <w:bCs/>
                          <w:sz w:val="22"/>
                          <w:szCs w:val="22"/>
                        </w:rPr>
                        <w:t>. Hilversum: Verloren.</w:t>
                      </w:r>
                      <w:r>
                        <w:rPr>
                          <w:i/>
                          <w:iCs/>
                          <w:sz w:val="22"/>
                          <w:szCs w:val="22"/>
                        </w:rPr>
                        <w:t xml:space="preserve"> Gebruikt voor lokale machtsverhoudingen, bestuurlijke interventies en vroegmoderne vervolgingspraktijken.</w:t>
                      </w:r>
                      <w:r>
                        <w:rPr>
                          <w:i/>
                          <w:iCs/>
                          <w:sz w:val="22"/>
                          <w:szCs w:val="22"/>
                        </w:rPr>
                      </w:r>
                    </w:p>
                    <w:p>
                      <w:pPr>
                        <w:ind w:left="-142"/>
                        <w:rPr>
                          <w:i/>
                          <w:iCs/>
                          <w:sz w:val="22"/>
                          <w:szCs w:val="22"/>
                        </w:rPr>
                      </w:pPr>
                      <w:r>
                        <w:rPr>
                          <w:b/>
                          <w:bCs/>
                          <w:sz w:val="22"/>
                          <w:szCs w:val="22"/>
                        </w:rPr>
                        <w:t xml:space="preserve">Reinders, Jirsi. 2023. “De ontsluiting van het Amsterdamse notariële archief.” </w:t>
                      </w:r>
                      <w:r>
                        <w:rPr>
                          <w:b/>
                          <w:bCs/>
                          <w:i/>
                          <w:iCs/>
                          <w:sz w:val="22"/>
                          <w:szCs w:val="22"/>
                        </w:rPr>
                        <w:t xml:space="preserve">TSEG </w:t>
                      </w:r>
                      <w:r>
                        <w:rPr>
                          <w:b/>
                          <w:bCs/>
                          <w:sz w:val="22"/>
                          <w:szCs w:val="22"/>
                        </w:rPr>
                        <w:t>20 (3): 189–200.</w:t>
                      </w:r>
                      <w:r>
                        <w:rPr>
                          <w:i/>
                          <w:iCs/>
                          <w:sz w:val="22"/>
                          <w:szCs w:val="22"/>
                        </w:rPr>
                        <w:t xml:space="preserve"> Cruciaal voor inzicht in digitalisering, toegankelijkheid en archiefvorming van notariële protocollen.</w:t>
                      </w:r>
                      <w:r>
                        <w:rPr>
                          <w:i/>
                          <w:iCs/>
                          <w:sz w:val="22"/>
                          <w:szCs w:val="22"/>
                        </w:rPr>
                      </w:r>
                    </w:p>
                    <w:p>
                      <w:pPr>
                        <w:ind w:left="-142"/>
                        <w:rPr>
                          <w:i/>
                          <w:iCs/>
                          <w:sz w:val="22"/>
                          <w:szCs w:val="22"/>
                        </w:rPr>
                      </w:pPr>
                      <w:r>
                        <w:rPr>
                          <w:b/>
                          <w:bCs/>
                          <w:sz w:val="22"/>
                          <w:szCs w:val="22"/>
                          <w:lang w:val="en-us"/>
                        </w:rPr>
                        <w:t xml:space="preserve">Roelens, Jonas. 2024. </w:t>
                      </w:r>
                      <w:r>
                        <w:rPr>
                          <w:b/>
                          <w:bCs/>
                          <w:i/>
                          <w:iCs/>
                          <w:sz w:val="22"/>
                          <w:szCs w:val="22"/>
                          <w:lang w:val="en-us"/>
                        </w:rPr>
                        <w:t>Citizens and Sodomites: Persecution and Perception of Sodomy in the Southern Low Countries (1400–1700).</w:t>
                      </w:r>
                      <w:r>
                        <w:rPr>
                          <w:b/>
                          <w:bCs/>
                          <w:sz w:val="22"/>
                          <w:szCs w:val="22"/>
                          <w:lang w:val="en-us"/>
                        </w:rPr>
                        <w:t xml:space="preserve"> </w:t>
                      </w:r>
                      <w:r>
                        <w:rPr>
                          <w:b/>
                          <w:bCs/>
                          <w:sz w:val="22"/>
                          <w:szCs w:val="22"/>
                        </w:rPr>
                        <w:t>Leiden: Brill.</w:t>
                      </w:r>
                      <w:r>
                        <w:rPr>
                          <w:i/>
                          <w:iCs/>
                          <w:sz w:val="22"/>
                          <w:szCs w:val="22"/>
                        </w:rPr>
                        <w:t xml:space="preserve"> Voor reputatie, roddel en bestuurlijke logica in de Zuidelijke Nederlanden.</w:t>
                      </w:r>
                      <w:r>
                        <w:rPr>
                          <w:i/>
                          <w:iCs/>
                          <w:sz w:val="22"/>
                          <w:szCs w:val="22"/>
                        </w:rPr>
                      </w:r>
                    </w:p>
                    <w:p>
                      <w:pPr>
                        <w:ind w:left="-142"/>
                        <w:rPr>
                          <w:b/>
                          <w:bCs/>
                          <w:sz w:val="28"/>
                          <w:szCs w:val="28"/>
                        </w:rPr>
                      </w:pPr>
                      <w:r>
                        <w:rPr>
                          <w:b/>
                          <w:bCs/>
                          <w:sz w:val="28"/>
                          <w:szCs w:val="28"/>
                        </w:rPr>
                        <w:t>Aanbevolen literatuur voor verdieping</w:t>
                      </w:r>
                    </w:p>
                    <w:p>
                      <w:pPr>
                        <w:ind w:left="-142"/>
                        <w:rPr>
                          <w:b/>
                          <w:bCs/>
                          <w:i/>
                          <w:iCs/>
                          <w:sz w:val="22"/>
                          <w:szCs w:val="22"/>
                        </w:rPr>
                      </w:pPr>
                      <w:r>
                        <w:rPr>
                          <w:b/>
                          <w:bCs/>
                          <w:sz w:val="22"/>
                          <w:szCs w:val="22"/>
                        </w:rPr>
                        <w:t xml:space="preserve">Boer, Dick E. H. de, en Erik Cordfunke. 1997. </w:t>
                      </w:r>
                      <w:r>
                        <w:rPr>
                          <w:b/>
                          <w:bCs/>
                          <w:i/>
                          <w:iCs/>
                          <w:sz w:val="22"/>
                          <w:szCs w:val="22"/>
                        </w:rPr>
                        <w:t>Recht en onrecht in de Middeleeuwen</w:t>
                      </w:r>
                      <w:r>
                        <w:rPr>
                          <w:b/>
                          <w:bCs/>
                          <w:sz w:val="22"/>
                          <w:szCs w:val="22"/>
                        </w:rPr>
                        <w:t>. Zutphen: Walburg Pers.</w:t>
                      </w:r>
                      <w:r>
                        <w:rPr>
                          <w:b/>
                          <w:bCs/>
                          <w:i/>
                          <w:iCs/>
                          <w:sz w:val="22"/>
                          <w:szCs w:val="22"/>
                        </w:rPr>
                        <w:t xml:space="preserve"> </w:t>
                      </w:r>
                      <w:r>
                        <w:rPr>
                          <w:i/>
                          <w:iCs/>
                          <w:sz w:val="22"/>
                          <w:szCs w:val="22"/>
                        </w:rPr>
                        <w:t>Voor middeleeuwse rechtspraak, procedurele context en juridische logica</w:t>
                      </w:r>
                      <w:r>
                        <w:rPr>
                          <w:b/>
                          <w:bCs/>
                          <w:i/>
                          <w:iCs/>
                          <w:sz w:val="22"/>
                          <w:szCs w:val="22"/>
                        </w:rPr>
                        <w:t>.</w:t>
                      </w:r>
                      <w:r>
                        <w:rPr>
                          <w:b/>
                          <w:bCs/>
                          <w:i/>
                          <w:iCs/>
                          <w:sz w:val="22"/>
                          <w:szCs w:val="22"/>
                        </w:rPr>
                      </w:r>
                    </w:p>
                    <w:p>
                      <w:pPr>
                        <w:ind w:left="-142"/>
                        <w:rPr>
                          <w:i/>
                          <w:iCs/>
                          <w:sz w:val="22"/>
                          <w:szCs w:val="22"/>
                        </w:rPr>
                      </w:pPr>
                      <w:r>
                        <w:rPr>
                          <w:b/>
                          <w:bCs/>
                          <w:sz w:val="22"/>
                          <w:szCs w:val="22"/>
                        </w:rPr>
                        <w:t xml:space="preserve">Grijzenhout, Frans, ed. 2007. </w:t>
                      </w:r>
                      <w:r>
                        <w:rPr>
                          <w:b/>
                          <w:bCs/>
                          <w:i/>
                          <w:iCs/>
                          <w:sz w:val="22"/>
                          <w:szCs w:val="22"/>
                        </w:rPr>
                        <w:t xml:space="preserve">Erfgoed: De geschiedenis van een begrip. </w:t>
                      </w:r>
                      <w:r>
                        <w:rPr>
                          <w:b/>
                          <w:bCs/>
                          <w:sz w:val="22"/>
                          <w:szCs w:val="22"/>
                        </w:rPr>
                        <w:t>Amsterdam: Amsterdam University Press</w:t>
                      </w:r>
                      <w:r>
                        <w:rPr>
                          <w:b/>
                          <w:bCs/>
                          <w:i/>
                          <w:iCs/>
                          <w:sz w:val="22"/>
                          <w:szCs w:val="22"/>
                        </w:rPr>
                        <w:t xml:space="preserve">. </w:t>
                      </w:r>
                      <w:r>
                        <w:rPr>
                          <w:i/>
                          <w:iCs/>
                          <w:sz w:val="22"/>
                          <w:szCs w:val="22"/>
                        </w:rPr>
                        <w:t>Voor het historiseren van begrippen en het analyseren van semantische verschuivingen.</w:t>
                      </w:r>
                      <w:r>
                        <w:rPr>
                          <w:i/>
                          <w:iCs/>
                          <w:sz w:val="22"/>
                          <w:szCs w:val="22"/>
                        </w:rPr>
                      </w:r>
                    </w:p>
                    <w:p>
                      <w:pPr>
                        <w:ind w:left="-142"/>
                        <w:rPr>
                          <w:i/>
                          <w:iCs/>
                          <w:sz w:val="22"/>
                          <w:szCs w:val="22"/>
                        </w:rPr>
                      </w:pPr>
                      <w:r>
                        <w:rPr>
                          <w:b/>
                          <w:bCs/>
                          <w:sz w:val="22"/>
                          <w:szCs w:val="22"/>
                          <w:lang w:val="en-us"/>
                        </w:rPr>
                        <w:t xml:space="preserve">Nierop, Henk van. 2009. </w:t>
                      </w:r>
                      <w:r>
                        <w:rPr>
                          <w:b/>
                          <w:bCs/>
                          <w:i/>
                          <w:iCs/>
                          <w:sz w:val="22"/>
                          <w:szCs w:val="22"/>
                          <w:lang w:val="en-us"/>
                        </w:rPr>
                        <w:t>Treason in the Northern Quarter</w:t>
                      </w:r>
                      <w:r>
                        <w:rPr>
                          <w:b/>
                          <w:bCs/>
                          <w:sz w:val="22"/>
                          <w:szCs w:val="22"/>
                          <w:lang w:val="en-us"/>
                        </w:rPr>
                        <w:t xml:space="preserve">. </w:t>
                      </w:r>
                      <w:r>
                        <w:rPr>
                          <w:b/>
                          <w:bCs/>
                          <w:sz w:val="22"/>
                          <w:szCs w:val="22"/>
                        </w:rPr>
                        <w:t>Princeton: Princeton University Press.</w:t>
                      </w:r>
                      <w:r>
                        <w:rPr>
                          <w:b/>
                          <w:bCs/>
                          <w:i/>
                          <w:iCs/>
                          <w:sz w:val="22"/>
                          <w:szCs w:val="22"/>
                        </w:rPr>
                        <w:t xml:space="preserve"> </w:t>
                      </w:r>
                      <w:r>
                        <w:rPr>
                          <w:i/>
                          <w:iCs/>
                          <w:sz w:val="22"/>
                          <w:szCs w:val="22"/>
                        </w:rPr>
                        <w:t>Voor vroegmoderne procescultuur, bewijsvoering en bestuurlijke structuren.</w:t>
                      </w:r>
                      <w:r>
                        <w:rPr>
                          <w:i/>
                          <w:iCs/>
                          <w:sz w:val="22"/>
                          <w:szCs w:val="22"/>
                        </w:rPr>
                      </w:r>
                    </w:p>
                    <w:p>
                      <w:pPr>
                        <w:ind w:left="-142"/>
                        <w:rPr>
                          <w:b/>
                          <w:bCs/>
                          <w:sz w:val="22"/>
                          <w:szCs w:val="22"/>
                        </w:rPr>
                      </w:pPr>
                      <w:r>
                        <w:rPr>
                          <w:b/>
                          <w:bCs/>
                          <w:sz w:val="22"/>
                          <w:szCs w:val="22"/>
                          <w:lang w:val="en-us"/>
                        </w:rPr>
                        <w:t xml:space="preserve">Stoler, Ann Laura. 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Voor het lezen van archieven als producten van bureaucratische logica en machtsstructuren.</w:t>
                      </w:r>
                      <w:r>
                        <w:rPr>
                          <w:b/>
                          <w:bCs/>
                          <w:sz w:val="22"/>
                          <w:szCs w:val="22"/>
                        </w:rPr>
                      </w:r>
                    </w:p>
                    <w:p>
                      <w:pPr>
                        <w:ind w:left="-142"/>
                        <w:rPr>
                          <w:b/>
                          <w:b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Onmisbaar voor het concept archival silence; waarom bronnen zwijgen en wat dat betekent.</w:t>
                      </w:r>
                      <w:r>
                        <w:rPr>
                          <w:b/>
                          <w:bCs/>
                          <w:sz w:val="22"/>
                          <w:szCs w:val="22"/>
                        </w:rPr>
                      </w:r>
                    </w:p>
                    <w:p>
                      <w:pPr>
                        <w:ind w:left="-142"/>
                      </w:pPr>
                      <w:r/>
                    </w:p>
                  </w:txbxContent>
                </v:textbox>
              </v:rect>
            </w:pict>
          </mc:Fallback>
        </mc:AlternateContent>
      </w:r>
      <w:r>
        <w:rPr>
          <w:szCs w:val="24"/>
        </w:rPr>
      </w:r>
    </w:p>
    <w:p>
      <w:pPr>
        <w:pStyle w:val="para1"/>
      </w:pPr>
      <w:bookmarkStart w:id="13" w:name="_Toc232185150"/>
      <w:r>
        <w:t>4. Wat ontbreekt in het archief?</w:t>
      </w:r>
      <w:bookmarkEnd w:id="13"/>
      <w:r/>
    </w:p>
    <w:p>
      <w:pPr>
        <w:pStyle w:val="para3"/>
      </w:pPr>
      <w:bookmarkStart w:id="14" w:name="_Toc232185151"/>
      <w:r>
        <w:t>4.1 Structurele afwezigheid van bepaalde perspectieven</w:t>
      </w:r>
      <w:bookmarkEnd w:id="14"/>
      <w:r/>
    </w:p>
    <w:p>
      <w:r>
        <w:t>Het archiefmateriaal betreffende sodomie bevat niet alleen lacunes door verlies of vernietiging, maar ook structurele stiltes die voortkomen uit sociale normen, institutionele logica’s en juridische definities. Bepaalde groepen en perspectieven verschijnen daardoor nauwelijks of alleen in sterk gefilterde vorm.</w:t>
      </w:r>
    </w:p>
    <w:p>
      <w:pPr>
        <w:pStyle w:val="para4"/>
      </w:pPr>
      <w:r>
        <w:t>Verdachten zelf</w:t>
      </w:r>
    </w:p>
    <w:p>
      <w:pPr>
        <w:rPr>
          <w:szCs w:val="24"/>
        </w:rPr>
      </w:pPr>
      <w:r>
        <w:rPr>
          <w:szCs w:val="24"/>
        </w:rPr>
        <w:t>Het meest fundamentele gemis is het perspectief van de verdachten. Straf- en processtukken bevatten weliswaar verhoren en bekentenissen, maar deze zijn altijd gefilterd door juridische scripts, ondervragingstechnieken en de verwachtingen van de rechtbanken. De eigen stem van verdachten, hun emoties, motieven, verlangens, zelfbeelden, is vrijwel volledig afwezig. Wat resteert, is een juridisch geconstrueerde versie van hun woorden.</w:t>
      </w:r>
    </w:p>
    <w:p>
      <w:pPr>
        <w:pStyle w:val="para4"/>
      </w:pPr>
      <w:r>
        <w:t>Vrouwen</w:t>
      </w:r>
    </w:p>
    <w:p>
      <w:pPr>
        <w:rPr>
          <w:szCs w:val="24"/>
        </w:rPr>
      </w:pPr>
      <w:r>
        <w:rPr>
          <w:szCs w:val="24"/>
        </w:rPr>
        <w:t>Vrouwen ontbreken vrijwel volledig in sodomiezaken, maar niet in strafarchieven in het algemeen. In andere misdrijven komen zij juist vaak voor als getuigen, slachtoffers of verdachten. Hun afwezigheid in sodomiezaken is daarom geen archieftechnisch probleem, maar een juridisch en cultureel gegeven: de strafrechtelijke categorieën rond sodomie waren gebaseerd op mannelijkheid, penetratie en genderrollen. Vervolging van vrouwen vond vooral plaats wanneer zij gendernormen doorbraken, bijvoorbeeld door mannelijke rollen aan te nemen of een huwelijk met een vrouw te proberen sluiten, niet vanwege vrouwelijke gelijkgeslachtelijke seksualiteit als zodanig.</w:t>
      </w:r>
    </w:p>
    <w:p>
      <w:pPr>
        <w:pStyle w:val="para4"/>
      </w:pPr>
      <w:r>
        <w:t>Lagere sociale klassen</w:t>
      </w:r>
    </w:p>
    <w:p>
      <w:pPr>
        <w:rPr>
          <w:b/>
        </w:rPr>
      </w:pPr>
      <w:r>
        <w:t>De armste groepen verschijnen alleen wanneer zij door autoriteiten werden opgepakt of wanneer hun handelen administratief relevant werd. Hun sociale wereld, informele conflicten, geruchten, strategieën om vervolging te vermijden, blijft grotendeels buiten beeld. Tegelijkertijd tonen processtukken juist wél armen wanneer zij in aanraking kwamen met justitie. De stilte betreft dus niet hun afwezigheid in strafarchieven, maar het ontbreken van hun perspectief buiten formele procedures.</w:t>
      </w:r>
      <w:r>
        <w:rPr>
          <w:b/>
        </w:rPr>
      </w:r>
    </w:p>
    <w:p>
      <w:pPr>
        <w:pStyle w:val="para4"/>
      </w:pPr>
      <w:r>
        <w:t>Niet</w:t>
        <w:noBreakHyphen/>
        <w:t>stedelijke contexten</w:t>
      </w:r>
    </w:p>
    <w:p>
      <w:pPr>
        <w:rPr>
          <w:b/>
        </w:rPr>
      </w:pPr>
      <w:r>
        <w:t>Het archief van de Republiek is sterk stedelijk van aard, maar dat betekent niet dat het platteland volledig onzichtbaar is. Stedelijke rechtbanken hadden vaak jurisdictie over omliggende dorpen en heerlijkheden, waardoor plattelandszaken in stedelijke archieven terechtkwamen. Toch blijft de zichtbaarheid ongelijk: lokale, informele of ad</w:t>
        <w:noBreakHyphen/>
        <w:t>hoc afhandeling van verdenkingen liet zelden schriftelijke sporen na. De stilte rond het platteland weerspiegelt dus vooral verschillen in institutionele organisatie en registratiepraktijken.</w:t>
      </w:r>
      <w:r>
        <w:rPr>
          <w:b/>
        </w:rPr>
      </w:r>
    </w:p>
    <w:p>
      <w:r/>
    </w:p>
    <w:p>
      <w:pPr>
        <w:pStyle w:val="para3"/>
      </w:pPr>
      <w:bookmarkStart w:id="15" w:name="_Toc232185152"/>
      <w:r>
        <w:t>4.2 Vernietiging, selectie en niet</w:t>
        <w:noBreakHyphen/>
        <w:t>registratie</w:t>
      </w:r>
      <w:bookmarkEnd w:id="15"/>
      <w:r/>
    </w:p>
    <w:p>
      <w:pPr>
        <w:rPr>
          <w:szCs w:val="24"/>
        </w:rPr>
      </w:pPr>
      <w:r>
        <w:rPr>
          <w:szCs w:val="24"/>
        </w:rPr>
        <w:t>De lacunes in het archief zijn niet alleen het gevolg van toevallig verlies, maar van een reeks historische processen waarin vernietiging, selectie en niet</w:t>
        <w:noBreakHyphen/>
        <w:t>registratie een centrale rol speelden. Archieven zijn nooit neutrale verzamelingen van feiten; zij zijn het resultaat van institutionele keuzes over wat administratief relevant, juridisch noodzakelijk of politiek wenselijk werd geacht.</w:t>
      </w:r>
    </w:p>
    <w:p>
      <w:pPr>
        <w:rPr>
          <w:szCs w:val="24"/>
        </w:rPr>
      </w:pPr>
      <w:r>
        <w:rPr>
          <w:szCs w:val="24"/>
        </w:rPr>
        <w:t>In de Noordelijke Nederlanden is een aanzienlijk deel van de middeleeuwse en vroegmoderne archieven verloren gegaan door brand, oorlog, wateroverlast en reorganisatie. De Reformatie vormt een cruciaal breekpunt, kloosterarchieven werden geconfisqueerd, verspreid of vernietigd, en veel kerkelijke administraties verdwenen of werden geïntegreerd in wereldlijke structuren. Hierdoor zijn hele categorieën bronnen, vooral die van katholieke instellingen, slechts fragmentarisch overgeleverd.</w:t>
      </w:r>
    </w:p>
    <w:p>
      <w:pPr>
        <w:rPr>
          <w:szCs w:val="24"/>
        </w:rPr>
      </w:pPr>
      <w:r>
        <w:rPr>
          <w:szCs w:val="24"/>
        </w:rPr>
        <w:t>Maar zelfs waar archieven bewaard zijn, is de inhoud het resultaat van institutionele selectie. Stedelijke besturen verwijderden routinematig stukken die als verouderd of niet relevant werden beschouwd. Criminele dossiers werden soms na verloop van tijd vernietigd om ruimte te besparen. Notariële archieven bevatten alleen wat notarissen registreerden, en notarissen registreerden alleen wat cliënten wilden vastleggen.</w:t>
      </w:r>
    </w:p>
    <w:p>
      <w:pPr>
        <w:rPr>
          <w:szCs w:val="24"/>
        </w:rPr>
      </w:pPr>
      <w:r>
        <w:rPr>
          <w:szCs w:val="24"/>
        </w:rPr>
        <w:t xml:space="preserve">Daarnaast is er het fenomeen van niet-registratie, gebeurtenissen die nooit op schrift zijn gesteld omdat zij buiten de administratieve logica vielen. Informele bemiddeling, geruchten, sociale druk, uitsluiting, onderhandelingen binnen families of buurten, dit alles speelde een cruciale rol in het ontstaan van sodomiezaken, maar werd zelden gedocumenteerd. </w:t>
      </w:r>
    </w:p>
    <w:p>
      <w:pPr>
        <w:rPr>
          <w:szCs w:val="24"/>
        </w:rPr>
      </w:pPr>
      <w:r>
        <w:rPr>
          <w:szCs w:val="24"/>
        </w:rPr>
        <w:t>Voor sodomie betekent dit dat het archief vooral de gevallen bevat die door autoriteiten als juridisch relevant werden beschouwd, terwijl een onbekend aantal verdenkingen nooit werd vastgelegd. De afwezigheid van registratie is daarmee niet slechts een tekort, maar een aanwijzing van de grenzen van institutionele aandacht en van de sociale mechanismen die bepaalden welke conflicten wel en niet werden geformaliseerd.</w:t>
      </w:r>
    </w:p>
    <w:p>
      <w:pPr>
        <w:pStyle w:val="para3"/>
      </w:pPr>
      <w:bookmarkStart w:id="16" w:name="_Toc232185153"/>
      <w:r/>
    </w:p>
    <w:p>
      <w:pPr>
        <w:pStyle w:val="para3"/>
      </w:pPr>
      <w:r>
        <w:t>4.3 Stilte als historisch gegeven</w:t>
      </w:r>
      <w:bookmarkEnd w:id="16"/>
      <w:r/>
    </w:p>
    <w:p>
      <w:pPr>
        <w:rPr>
          <w:szCs w:val="24"/>
        </w:rPr>
      </w:pPr>
      <w:r>
        <w:rPr>
          <w:szCs w:val="24"/>
        </w:rPr>
        <w:t xml:space="preserve">Stilte in het archief is geen toevallige leegte, maar een historisch fenomeen dat zelf betekenis draagt. Het is een product van machtsverhoudingen, sociale normen en institutionele logica’s. Michel-Rolph Trouillot onderscheidt in zijn boek </w:t>
      </w:r>
      <w:r>
        <w:rPr>
          <w:i/>
          <w:iCs/>
          <w:sz w:val="22"/>
          <w:szCs w:val="22"/>
        </w:rPr>
        <w:t xml:space="preserve">Silencing the Past: Power and the Production of History </w:t>
      </w:r>
      <w:r>
        <w:rPr>
          <w:szCs w:val="24"/>
        </w:rPr>
        <w:t>vier momenten waarop stilte ontstaat</w:t>
      </w:r>
      <w:r>
        <w:rPr>
          <w:szCs w:val="24"/>
        </w:rPr>
        <w:t>,</w:t>
      </w:r>
      <w:r>
        <w:rPr>
          <w:szCs w:val="24"/>
        </w:rPr>
        <w:t xml:space="preserve"> bij het maken, verzamelen, archiveren en reconstrueren van feiten</w:t>
      </w:r>
      <w:r>
        <w:rPr>
          <w:szCs w:val="24"/>
        </w:rPr>
        <w:t>,</w:t>
      </w:r>
      <w:r>
        <w:rPr>
          <w:szCs w:val="24"/>
        </w:rPr>
        <w:t xml:space="preserve"> en alle vier zijn relevant voor sodomie.</w:t>
      </w:r>
      <w:r>
        <w:rPr>
          <w:szCs w:val="24"/>
        </w:rPr>
      </w:r>
    </w:p>
    <w:p>
      <w:pPr>
        <w:rPr>
          <w:szCs w:val="24"/>
        </w:rPr>
      </w:pPr>
      <w:r>
        <w:rPr>
          <w:szCs w:val="24"/>
        </w:rPr>
        <w:t>In de vroegmoderne Nederlanden werd sodomie vaak beschouwd als een onnoembare zonde, een delict dat niet alleen strafbaar was, maar ook moreel gevaarlijk om te benoemen. Deze culturele terughoudendheid beïnvloedde de manier waarop autoriteiten registreerden. In administratieve bronnen wordt sodomie vaak verhuld door eufemismen of helemaal niet genoemd, terwijl alleen de gevolgen, vertrek, verbanning, boedelafwikkeling, worden vastgelegd. De stilte is hier geen leegte, maar een strategische omissie die iets zegt over de gevoeligheid van het onderwerp.</w:t>
      </w:r>
    </w:p>
    <w:p>
      <w:pPr>
        <w:rPr>
          <w:szCs w:val="24"/>
        </w:rPr>
      </w:pPr>
      <w:r>
        <w:rPr>
          <w:szCs w:val="24"/>
        </w:rPr>
        <w:t>Ook in strafrechtelijke contexten is stilte betekenisvol. Bekentenissen zijn vaak kort, gestandaardiseerd en gericht op juridische kernpunten, details over relaties, emoties of sociale context worden niet gevraagd en dus niet vastgelegd. Wat niet relevant was voor de juridische kwalificatie, verdween uit het dossier.</w:t>
      </w:r>
    </w:p>
    <w:p>
      <w:pPr>
        <w:rPr>
          <w:szCs w:val="24"/>
        </w:rPr>
      </w:pPr>
      <w:r>
        <w:rPr>
          <w:szCs w:val="24"/>
        </w:rPr>
        <w:t>Daarnaast is er de stilte van groepen die nauwelijks schriftelijke sporen nalaten zoals vrouwen, armen, migranten, plattelandsbewoners. Hun afwezigheid is niet alleen een gevolg van archiefverlies, maar van sociale structuren die bepaalden wie toegang had tot juridische instrumenten en wie zichtbaar werd in administratieve systemen.</w:t>
      </w:r>
    </w:p>
    <w:p>
      <w:pPr>
        <w:rPr>
          <w:szCs w:val="24"/>
        </w:rPr>
      </w:pPr>
      <w:r>
        <w:rPr>
          <w:szCs w:val="24"/>
        </w:rPr>
        <w:t>Stilte is dus geen passieve leegte, maar een actief historisch proces. De stilte komt voort uit de grenzen van wat een samenleving bereid was te registreren, de grenzen van wat instellingen konden of wilden vastleggen, en de grenzen van wie als historisch subject werd erkend. De onderzoeker moet deze stilte niet proberen te vullen, maar analyseren als onderdeel van het historische landschap.</w:t>
      </w:r>
    </w:p>
    <w:p>
      <w:r>
        <w:rPr>
          <w:noProof/>
        </w:rPr>
        <mc:AlternateContent>
          <mc:Choice Requires="wps">
            <w:drawing>
              <wp:anchor distT="45720" distB="45720" distL="114300" distR="114300" simplePos="0" relativeHeight="251658243" behindDoc="1" locked="0" layoutInCell="0" hidden="0" allowOverlap="1">
                <wp:simplePos x="0" y="0"/>
                <wp:positionH relativeFrom="column">
                  <wp:posOffset>-231775</wp:posOffset>
                </wp:positionH>
                <wp:positionV relativeFrom="page">
                  <wp:posOffset>4103370</wp:posOffset>
                </wp:positionV>
                <wp:extent cx="6416040" cy="5509895"/>
                <wp:effectExtent l="38100" t="38100" r="38100" b="38100"/>
                <wp:wrapTopAndBottom/>
                <wp:docPr id="3" name="Tekstvak 4"/>
                <wp:cNvGraphicFramePr/>
                <a:graphic xmlns:a="http://schemas.openxmlformats.org/drawingml/2006/main">
                  <a:graphicData uri="http://schemas.microsoft.com/office/word/2010/wordprocessingShape">
                    <wps:wsp>
                      <wps:cNvSpPr>
                        <a:extLst>
                          <a:ext uri="sm">
                            <sm:smNativeData xmlns:sm="sm" val="SMDATA_15_swU0ahMAAAAlAAAAZAAAAE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HcBAAAAIQAAAAAAAAAAAAAAAAAAAgAAAJP+//8AAAAAAAAAAD4ZAAB4JwAA5SEAABsAAAAcBAAAPhkAACgAAAAIAAAAAQAAAAEAAAAwAAAAFAAAAAAAAAAAAP//AAABAAAA//8AAAEA"/>
                          </a:ext>
                        </a:extLst>
                      </wps:cNvSpPr>
                      <wps:spPr>
                        <a:xfrm>
                          <a:off x="0" y="0"/>
                          <a:ext cx="6416040" cy="5509895"/>
                        </a:xfrm>
                        <a:prstGeom prst="rect">
                          <a:avLst/>
                        </a:prstGeom>
                        <a:solidFill>
                          <a:srgbClr val="C0CAB5"/>
                        </a:solidFill>
                        <a:ln w="38100">
                          <a:solidFill>
                            <a:srgbClr val="A4AE93"/>
                          </a:solidFill>
                        </a:ln>
                      </wps:spPr>
                      <wps:txbx>
                        <w:txbxContent>
                          <w:p>
                            <w:pPr>
                              <w:ind w:left="-142"/>
                              <w:rPr>
                                <w:b/>
                                <w:bCs/>
                                <w:sz w:val="28"/>
                                <w:szCs w:val="28"/>
                                <w:lang w:val="en-us"/>
                              </w:rPr>
                            </w:pPr>
                            <w:r>
                              <w:rPr>
                                <w:b/>
                                <w:bCs/>
                                <w:sz w:val="28"/>
                                <w:szCs w:val="28"/>
                                <w:lang w:val="en-us"/>
                              </w:rPr>
                              <w:t xml:space="preserve">Gebruikte literatuur </w:t>
                            </w:r>
                          </w:p>
                          <w:p>
                            <w:pPr>
                              <w:ind w:left="-142"/>
                              <w:rPr>
                                <w:i/>
                                <w:iCs/>
                                <w:sz w:val="22"/>
                                <w:szCs w:val="22"/>
                              </w:rPr>
                            </w:pPr>
                            <w:r>
                              <w:rPr>
                                <w:b/>
                                <w:bCs/>
                                <w:sz w:val="22"/>
                                <w:szCs w:val="22"/>
                                <w:lang w:val="en-us"/>
                              </w:rPr>
                              <w:t xml:space="preserve">Roelens, Jonas. 2024. </w:t>
                            </w:r>
                            <w:r>
                              <w:rPr>
                                <w:b/>
                                <w:bCs/>
                                <w:i/>
                                <w:iCs/>
                                <w:sz w:val="22"/>
                                <w:szCs w:val="22"/>
                                <w:lang w:val="en-us"/>
                              </w:rPr>
                              <w:t>Citizens and Sodomites: Persecution and Perception of Sodomy in the Southern Low Countries (1400–1700).</w:t>
                            </w:r>
                            <w:r>
                              <w:rPr>
                                <w:b/>
                                <w:bCs/>
                                <w:sz w:val="22"/>
                                <w:szCs w:val="22"/>
                                <w:lang w:val="en-us"/>
                              </w:rPr>
                              <w:t xml:space="preserve"> </w:t>
                            </w:r>
                            <w:r>
                              <w:rPr>
                                <w:b/>
                                <w:bCs/>
                                <w:sz w:val="22"/>
                                <w:szCs w:val="22"/>
                              </w:rPr>
                              <w:t>Leiden: Brill.</w:t>
                            </w:r>
                            <w:r>
                              <w:rPr>
                                <w:i/>
                                <w:iCs/>
                                <w:sz w:val="22"/>
                                <w:szCs w:val="22"/>
                              </w:rPr>
                              <w:t xml:space="preserve"> </w:t>
                            </w:r>
                            <w:r>
                              <w:rPr>
                                <w:i/>
                                <w:iCs/>
                                <w:sz w:val="22"/>
                                <w:szCs w:val="22"/>
                              </w:rPr>
                              <w:t>Gebruikt voor inzicht in gender, platteland, informele vervolging en de structurele afwezigheid van vrouwelijke gelijkgeslachtelijke seksualiteit in strafrechtelijke contexten.</w:t>
                            </w:r>
                            <w:r>
                              <w:rPr>
                                <w:i/>
                                <w:iCs/>
                                <w:sz w:val="22"/>
                                <w:szCs w:val="22"/>
                              </w:rPr>
                            </w:r>
                          </w:p>
                          <w:p>
                            <w:pPr>
                              <w:ind w:left="-142"/>
                              <w:rPr>
                                <w:b/>
                                <w:bCs/>
                                <w:sz w:val="22"/>
                                <w:szCs w:val="22"/>
                              </w:rPr>
                            </w:pPr>
                            <w:r>
                              <w:rPr>
                                <w:b/>
                                <w:bCs/>
                                <w:sz w:val="22"/>
                                <w:szCs w:val="22"/>
                                <w:lang w:val="en-us"/>
                              </w:rPr>
                              <w:t xml:space="preserve">Stoler, Ann Laura. 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Gebruikt voor het concept van archivering als governance en institutionele filtering.</w:t>
                            </w:r>
                            <w:r>
                              <w:rPr>
                                <w:b/>
                                <w:bCs/>
                                <w:sz w:val="22"/>
                                <w:szCs w:val="22"/>
                              </w:rPr>
                            </w:r>
                          </w:p>
                          <w:p>
                            <w:pPr>
                              <w:ind w:left="-142"/>
                              <w:rPr>
                                <w:b/>
                                <w:b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Gebruikt voor het analytisch kader rond stilte, niet</w:t>
                              <w:noBreakHyphen/>
                              <w:t>registratie en de productie van historische feiten.</w:t>
                            </w:r>
                            <w:r>
                              <w:rPr>
                                <w:b/>
                                <w:bCs/>
                                <w:sz w:val="22"/>
                                <w:szCs w:val="22"/>
                              </w:rPr>
                            </w:r>
                          </w:p>
                          <w:p>
                            <w:pPr>
                              <w:ind w:left="-142"/>
                              <w:rPr>
                                <w:b/>
                                <w:bCs/>
                                <w:sz w:val="28"/>
                                <w:szCs w:val="28"/>
                              </w:rPr>
                            </w:pPr>
                            <w:r>
                              <w:rPr>
                                <w:b/>
                                <w:bCs/>
                                <w:sz w:val="28"/>
                                <w:szCs w:val="28"/>
                              </w:rPr>
                              <w:t>Aanbevolen literatuur voor verdieping</w:t>
                            </w:r>
                          </w:p>
                          <w:p>
                            <w:pPr>
                              <w:ind w:left="-142"/>
                              <w:rPr>
                                <w:b/>
                                <w:bCs/>
                                <w:sz w:val="22"/>
                                <w:szCs w:val="22"/>
                              </w:rPr>
                            </w:pPr>
                            <w:r>
                              <w:rPr>
                                <w:b/>
                                <w:bCs/>
                                <w:sz w:val="22"/>
                                <w:szCs w:val="22"/>
                                <w:lang w:val="en-us"/>
                              </w:rPr>
                              <w:t xml:space="preserve">Cook, Terry. 2013. “Evidence, Memory, Identity, and Community: Four Shifting Archival Paradigms.” </w:t>
                            </w:r>
                            <w:r>
                              <w:rPr>
                                <w:b/>
                                <w:bCs/>
                                <w:i/>
                                <w:iCs/>
                                <w:sz w:val="22"/>
                                <w:szCs w:val="22"/>
                              </w:rPr>
                              <w:t>Archival Science</w:t>
                            </w:r>
                            <w:r>
                              <w:rPr>
                                <w:b/>
                                <w:bCs/>
                                <w:sz w:val="22"/>
                                <w:szCs w:val="22"/>
                              </w:rPr>
                              <w:t xml:space="preserve"> 13 (2–3): 95–120. </w:t>
                            </w:r>
                            <w:r>
                              <w:rPr>
                                <w:i/>
                                <w:iCs/>
                                <w:sz w:val="22"/>
                                <w:szCs w:val="22"/>
                              </w:rPr>
                              <w:t>Voor de veranderende rol van archieven en de relatie tussen macht, selectie en identiteit.</w:t>
                            </w:r>
                            <w:r>
                              <w:rPr>
                                <w:b/>
                                <w:bCs/>
                                <w:sz w:val="22"/>
                                <w:szCs w:val="22"/>
                              </w:rPr>
                            </w:r>
                          </w:p>
                          <w:p>
                            <w:pPr>
                              <w:ind w:left="-142"/>
                              <w:rPr>
                                <w:i/>
                                <w:iCs/>
                                <w:sz w:val="22"/>
                                <w:szCs w:val="22"/>
                              </w:rPr>
                            </w:pPr>
                            <w:r>
                              <w:rPr>
                                <w:b/>
                                <w:bCs/>
                                <w:sz w:val="22"/>
                                <w:szCs w:val="22"/>
                              </w:rPr>
                              <w:t xml:space="preserve">Dekker, Rudolf M., en Lotte C. van de Pol. 1989. </w:t>
                            </w:r>
                            <w:r>
                              <w:rPr>
                                <w:b/>
                                <w:bCs/>
                                <w:i/>
                                <w:iCs/>
                                <w:sz w:val="22"/>
                                <w:szCs w:val="22"/>
                              </w:rPr>
                              <w:t>Vrouwen in Mannenkleren: De geschiedenis van een tegendraadse traditie</w:t>
                            </w:r>
                            <w:r>
                              <w:rPr>
                                <w:b/>
                                <w:bCs/>
                                <w:sz w:val="22"/>
                                <w:szCs w:val="22"/>
                              </w:rPr>
                              <w:t xml:space="preserve">. Amsterdam: Wereldbibliotheek. </w:t>
                            </w:r>
                            <w:r>
                              <w:rPr>
                                <w:i/>
                                <w:iCs/>
                                <w:sz w:val="22"/>
                                <w:szCs w:val="22"/>
                              </w:rPr>
                              <w:t xml:space="preserve">Voor inzicht in </w:t>
                            </w:r>
                            <w:r>
                              <w:rPr>
                                <w:i/>
                                <w:iCs/>
                                <w:sz w:val="22"/>
                                <w:szCs w:val="22"/>
                              </w:rPr>
                              <w:t>gendernormoverschrijding</w:t>
                            </w:r>
                            <w:r>
                              <w:rPr>
                                <w:i/>
                                <w:iCs/>
                                <w:sz w:val="22"/>
                                <w:szCs w:val="22"/>
                              </w:rPr>
                              <w:t>, vrouwelijke zichtbaarheid in strafarchieven en de uitzonderlijke gevallen waarin vrouwen in juridische</w:t>
                            </w:r>
                            <w:r>
                              <w:rPr>
                                <w:i/>
                                <w:iCs/>
                                <w:sz w:val="22"/>
                                <w:szCs w:val="22"/>
                              </w:rPr>
                              <w:t xml:space="preserve"> (en soms sodomie) </w:t>
                            </w:r>
                            <w:r>
                              <w:rPr>
                                <w:i/>
                                <w:iCs/>
                                <w:sz w:val="22"/>
                                <w:szCs w:val="22"/>
                              </w:rPr>
                              <w:t>contexten verschijnen.</w:t>
                            </w:r>
                            <w:r>
                              <w:rPr>
                                <w:i/>
                                <w:iCs/>
                                <w:sz w:val="22"/>
                                <w:szCs w:val="22"/>
                              </w:rPr>
                            </w:r>
                          </w:p>
                          <w:p>
                            <w:pPr>
                              <w:ind w:left="-142"/>
                              <w:rPr>
                                <w:i/>
                                <w:iCs/>
                                <w:sz w:val="22"/>
                                <w:szCs w:val="22"/>
                              </w:rPr>
                            </w:pPr>
                            <w:r>
                              <w:rPr>
                                <w:b/>
                                <w:bCs/>
                                <w:sz w:val="22"/>
                                <w:szCs w:val="22"/>
                                <w:lang w:val="en-us"/>
                              </w:rPr>
                              <w:t xml:space="preserve">Ketelaar, Eric. 1999. “Archivalisation and Archiving.” </w:t>
                            </w:r>
                            <w:r>
                              <w:rPr>
                                <w:b/>
                                <w:bCs/>
                                <w:i/>
                                <w:iCs/>
                                <w:sz w:val="22"/>
                                <w:szCs w:val="22"/>
                              </w:rPr>
                              <w:t>Archives</w:t>
                            </w:r>
                            <w:r>
                              <w:rPr>
                                <w:b/>
                                <w:bCs/>
                                <w:i/>
                                <w:iCs/>
                                <w:sz w:val="22"/>
                                <w:szCs w:val="22"/>
                              </w:rPr>
                              <w:t xml:space="preserve"> </w:t>
                            </w:r>
                            <w:r>
                              <w:rPr>
                                <w:b/>
                                <w:bCs/>
                                <w:i/>
                                <w:iCs/>
                                <w:sz w:val="22"/>
                                <w:szCs w:val="22"/>
                              </w:rPr>
                              <w:t>and</w:t>
                            </w:r>
                            <w:r>
                              <w:rPr>
                                <w:b/>
                                <w:bCs/>
                                <w:i/>
                                <w:iCs/>
                                <w:sz w:val="22"/>
                                <w:szCs w:val="22"/>
                              </w:rPr>
                              <w:t xml:space="preserve"> </w:t>
                            </w:r>
                            <w:r>
                              <w:rPr>
                                <w:b/>
                                <w:bCs/>
                                <w:i/>
                                <w:iCs/>
                                <w:sz w:val="22"/>
                                <w:szCs w:val="22"/>
                              </w:rPr>
                              <w:t>Manuscripts</w:t>
                            </w:r>
                            <w:r>
                              <w:rPr>
                                <w:b/>
                                <w:bCs/>
                                <w:sz w:val="22"/>
                                <w:szCs w:val="22"/>
                              </w:rPr>
                              <w:t xml:space="preserve"> 27: 54–61</w:t>
                            </w:r>
                            <w:r>
                              <w:rPr>
                                <w:b/>
                                <w:bCs/>
                                <w:i/>
                                <w:iCs/>
                                <w:sz w:val="22"/>
                                <w:szCs w:val="22"/>
                              </w:rPr>
                              <w:t>.</w:t>
                            </w:r>
                            <w:r>
                              <w:rPr>
                                <w:i/>
                                <w:iCs/>
                                <w:sz w:val="22"/>
                                <w:szCs w:val="22"/>
                              </w:rPr>
                              <w:t xml:space="preserve"> Voor inzicht in hoe archieven ontstaan en welke keuzes bepalen wat wordt bewaard.</w:t>
                            </w:r>
                            <w:r>
                              <w:rPr>
                                <w:i/>
                                <w:iCs/>
                                <w:sz w:val="22"/>
                                <w:szCs w:val="22"/>
                              </w:rPr>
                            </w:r>
                          </w:p>
                          <w:p>
                            <w:pPr>
                              <w:ind w:left="-142"/>
                              <w:rPr>
                                <w:b/>
                                <w:bCs/>
                                <w:sz w:val="22"/>
                                <w:szCs w:val="22"/>
                              </w:rPr>
                            </w:pPr>
                            <w:r>
                              <w:rPr>
                                <w:b/>
                                <w:bCs/>
                                <w:sz w:val="22"/>
                                <w:szCs w:val="22"/>
                                <w:lang w:val="en-us"/>
                              </w:rPr>
                              <w:t xml:space="preserve">Schwartz, Joan M., en Terry Cook. 2002. “Archives, Records, and Power: The Making of Modern Memory.” </w:t>
                            </w:r>
                            <w:r>
                              <w:rPr>
                                <w:b/>
                                <w:bCs/>
                                <w:i/>
                                <w:iCs/>
                                <w:sz w:val="22"/>
                                <w:szCs w:val="22"/>
                              </w:rPr>
                              <w:t>Archival Science</w:t>
                            </w:r>
                            <w:r>
                              <w:rPr>
                                <w:b/>
                                <w:bCs/>
                                <w:sz w:val="22"/>
                                <w:szCs w:val="22"/>
                              </w:rPr>
                              <w:t xml:space="preserve"> 2 (1–2): 1–19. </w:t>
                            </w:r>
                            <w:r>
                              <w:rPr>
                                <w:i/>
                                <w:iCs/>
                                <w:sz w:val="22"/>
                                <w:szCs w:val="22"/>
                              </w:rPr>
                              <w:t>Voor de machtsdynamiek achter archiefvorming en de productie van stilte.</w:t>
                            </w:r>
                            <w:r>
                              <w:rPr>
                                <w:b/>
                                <w:bCs/>
                                <w:sz w:val="22"/>
                                <w:szCs w:val="22"/>
                              </w:rPr>
                            </w:r>
                          </w:p>
                          <w:p>
                            <w:pPr>
                              <w:ind w:left="-142"/>
                            </w:p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4" o:spid="_x0000_s1028" style="position:absolute;margin-left:-18.25pt;margin-top:323.10pt;mso-position-vertical-relative:page;width:505.20pt;height:433.85pt;z-index:251658243;mso-wrap-distance-left:9.00pt;mso-wrap-distance-top:3.60pt;mso-wrap-distance-right:9.00pt;mso-wrap-distance-bottom:3.60pt;mso-wrap-style:square" strokeweight="3.00pt" strokecolor="#a4ae93" fillcolor="#c0cab5" v:ext="SMDATA_15_swU0ahMAAAAlAAAAZAAAAE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HcBAAAAIQAAAAAAAAAAAAAAAAAAAgAAAJP+//8AAAAAAAAAAD4ZAAB4JwAA5SEAABsAAAAcBAAAPhk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lang w:val="en-us"/>
                        </w:rPr>
                      </w:pPr>
                      <w:r>
                        <w:rPr>
                          <w:b/>
                          <w:bCs/>
                          <w:sz w:val="28"/>
                          <w:szCs w:val="28"/>
                          <w:lang w:val="en-us"/>
                        </w:rPr>
                        <w:t xml:space="preserve">Gebruikte literatuur </w:t>
                      </w:r>
                    </w:p>
                    <w:p>
                      <w:pPr>
                        <w:ind w:left="-142"/>
                        <w:rPr>
                          <w:i/>
                          <w:iCs/>
                          <w:sz w:val="22"/>
                          <w:szCs w:val="22"/>
                        </w:rPr>
                      </w:pPr>
                      <w:r>
                        <w:rPr>
                          <w:b/>
                          <w:bCs/>
                          <w:sz w:val="22"/>
                          <w:szCs w:val="22"/>
                          <w:lang w:val="en-us"/>
                        </w:rPr>
                        <w:t xml:space="preserve">Roelens, Jonas. 2024. </w:t>
                      </w:r>
                      <w:r>
                        <w:rPr>
                          <w:b/>
                          <w:bCs/>
                          <w:i/>
                          <w:iCs/>
                          <w:sz w:val="22"/>
                          <w:szCs w:val="22"/>
                          <w:lang w:val="en-us"/>
                        </w:rPr>
                        <w:t>Citizens and Sodomites: Persecution and Perception of Sodomy in the Southern Low Countries (1400–1700).</w:t>
                      </w:r>
                      <w:r>
                        <w:rPr>
                          <w:b/>
                          <w:bCs/>
                          <w:sz w:val="22"/>
                          <w:szCs w:val="22"/>
                          <w:lang w:val="en-us"/>
                        </w:rPr>
                        <w:t xml:space="preserve"> </w:t>
                      </w:r>
                      <w:r>
                        <w:rPr>
                          <w:b/>
                          <w:bCs/>
                          <w:sz w:val="22"/>
                          <w:szCs w:val="22"/>
                        </w:rPr>
                        <w:t>Leiden: Brill.</w:t>
                      </w:r>
                      <w:r>
                        <w:rPr>
                          <w:i/>
                          <w:iCs/>
                          <w:sz w:val="22"/>
                          <w:szCs w:val="22"/>
                        </w:rPr>
                        <w:t xml:space="preserve"> </w:t>
                      </w:r>
                      <w:r>
                        <w:rPr>
                          <w:i/>
                          <w:iCs/>
                          <w:sz w:val="22"/>
                          <w:szCs w:val="22"/>
                        </w:rPr>
                        <w:t>Gebruikt voor inzicht in gender, platteland, informele vervolging en de structurele afwezigheid van vrouwelijke gelijkgeslachtelijke seksualiteit in strafrechtelijke contexten.</w:t>
                      </w:r>
                      <w:r>
                        <w:rPr>
                          <w:i/>
                          <w:iCs/>
                          <w:sz w:val="22"/>
                          <w:szCs w:val="22"/>
                        </w:rPr>
                      </w:r>
                    </w:p>
                    <w:p>
                      <w:pPr>
                        <w:ind w:left="-142"/>
                        <w:rPr>
                          <w:b/>
                          <w:bCs/>
                          <w:sz w:val="22"/>
                          <w:szCs w:val="22"/>
                        </w:rPr>
                      </w:pPr>
                      <w:r>
                        <w:rPr>
                          <w:b/>
                          <w:bCs/>
                          <w:sz w:val="22"/>
                          <w:szCs w:val="22"/>
                          <w:lang w:val="en-us"/>
                        </w:rPr>
                        <w:t xml:space="preserve">Stoler, Ann Laura. 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Gebruikt voor het concept van archivering als governance en institutionele filtering.</w:t>
                      </w:r>
                      <w:r>
                        <w:rPr>
                          <w:b/>
                          <w:bCs/>
                          <w:sz w:val="22"/>
                          <w:szCs w:val="22"/>
                        </w:rPr>
                      </w:r>
                    </w:p>
                    <w:p>
                      <w:pPr>
                        <w:ind w:left="-142"/>
                        <w:rPr>
                          <w:b/>
                          <w:b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Gebruikt voor het analytisch kader rond stilte, niet</w:t>
                        <w:noBreakHyphen/>
                        <w:t>registratie en de productie van historische feiten.</w:t>
                      </w:r>
                      <w:r>
                        <w:rPr>
                          <w:b/>
                          <w:bCs/>
                          <w:sz w:val="22"/>
                          <w:szCs w:val="22"/>
                        </w:rPr>
                      </w:r>
                    </w:p>
                    <w:p>
                      <w:pPr>
                        <w:ind w:left="-142"/>
                        <w:rPr>
                          <w:b/>
                          <w:bCs/>
                          <w:sz w:val="28"/>
                          <w:szCs w:val="28"/>
                        </w:rPr>
                      </w:pPr>
                      <w:r>
                        <w:rPr>
                          <w:b/>
                          <w:bCs/>
                          <w:sz w:val="28"/>
                          <w:szCs w:val="28"/>
                        </w:rPr>
                        <w:t>Aanbevolen literatuur voor verdieping</w:t>
                      </w:r>
                    </w:p>
                    <w:p>
                      <w:pPr>
                        <w:ind w:left="-142"/>
                        <w:rPr>
                          <w:b/>
                          <w:bCs/>
                          <w:sz w:val="22"/>
                          <w:szCs w:val="22"/>
                        </w:rPr>
                      </w:pPr>
                      <w:r>
                        <w:rPr>
                          <w:b/>
                          <w:bCs/>
                          <w:sz w:val="22"/>
                          <w:szCs w:val="22"/>
                          <w:lang w:val="en-us"/>
                        </w:rPr>
                        <w:t xml:space="preserve">Cook, Terry. 2013. “Evidence, Memory, Identity, and Community: Four Shifting Archival Paradigms.” </w:t>
                      </w:r>
                      <w:r>
                        <w:rPr>
                          <w:b/>
                          <w:bCs/>
                          <w:i/>
                          <w:iCs/>
                          <w:sz w:val="22"/>
                          <w:szCs w:val="22"/>
                        </w:rPr>
                        <w:t>Archival Science</w:t>
                      </w:r>
                      <w:r>
                        <w:rPr>
                          <w:b/>
                          <w:bCs/>
                          <w:sz w:val="22"/>
                          <w:szCs w:val="22"/>
                        </w:rPr>
                        <w:t xml:space="preserve"> 13 (2–3): 95–120. </w:t>
                      </w:r>
                      <w:r>
                        <w:rPr>
                          <w:i/>
                          <w:iCs/>
                          <w:sz w:val="22"/>
                          <w:szCs w:val="22"/>
                        </w:rPr>
                        <w:t>Voor de veranderende rol van archieven en de relatie tussen macht, selectie en identiteit.</w:t>
                      </w:r>
                      <w:r>
                        <w:rPr>
                          <w:b/>
                          <w:bCs/>
                          <w:sz w:val="22"/>
                          <w:szCs w:val="22"/>
                        </w:rPr>
                      </w:r>
                    </w:p>
                    <w:p>
                      <w:pPr>
                        <w:ind w:left="-142"/>
                        <w:rPr>
                          <w:i/>
                          <w:iCs/>
                          <w:sz w:val="22"/>
                          <w:szCs w:val="22"/>
                        </w:rPr>
                      </w:pPr>
                      <w:r>
                        <w:rPr>
                          <w:b/>
                          <w:bCs/>
                          <w:sz w:val="22"/>
                          <w:szCs w:val="22"/>
                        </w:rPr>
                        <w:t xml:space="preserve">Dekker, Rudolf M., en Lotte C. van de Pol. 1989. </w:t>
                      </w:r>
                      <w:r>
                        <w:rPr>
                          <w:b/>
                          <w:bCs/>
                          <w:i/>
                          <w:iCs/>
                          <w:sz w:val="22"/>
                          <w:szCs w:val="22"/>
                        </w:rPr>
                        <w:t>Vrouwen in Mannenkleren: De geschiedenis van een tegendraadse traditie</w:t>
                      </w:r>
                      <w:r>
                        <w:rPr>
                          <w:b/>
                          <w:bCs/>
                          <w:sz w:val="22"/>
                          <w:szCs w:val="22"/>
                        </w:rPr>
                        <w:t xml:space="preserve">. Amsterdam: Wereldbibliotheek. </w:t>
                      </w:r>
                      <w:r>
                        <w:rPr>
                          <w:i/>
                          <w:iCs/>
                          <w:sz w:val="22"/>
                          <w:szCs w:val="22"/>
                        </w:rPr>
                        <w:t xml:space="preserve">Voor inzicht in </w:t>
                      </w:r>
                      <w:r>
                        <w:rPr>
                          <w:i/>
                          <w:iCs/>
                          <w:sz w:val="22"/>
                          <w:szCs w:val="22"/>
                        </w:rPr>
                        <w:t>gendernormoverschrijding</w:t>
                      </w:r>
                      <w:r>
                        <w:rPr>
                          <w:i/>
                          <w:iCs/>
                          <w:sz w:val="22"/>
                          <w:szCs w:val="22"/>
                        </w:rPr>
                        <w:t>, vrouwelijke zichtbaarheid in strafarchieven en de uitzonderlijke gevallen waarin vrouwen in juridische</w:t>
                      </w:r>
                      <w:r>
                        <w:rPr>
                          <w:i/>
                          <w:iCs/>
                          <w:sz w:val="22"/>
                          <w:szCs w:val="22"/>
                        </w:rPr>
                        <w:t xml:space="preserve"> (en soms sodomie) </w:t>
                      </w:r>
                      <w:r>
                        <w:rPr>
                          <w:i/>
                          <w:iCs/>
                          <w:sz w:val="22"/>
                          <w:szCs w:val="22"/>
                        </w:rPr>
                        <w:t>contexten verschijnen.</w:t>
                      </w:r>
                      <w:r>
                        <w:rPr>
                          <w:i/>
                          <w:iCs/>
                          <w:sz w:val="22"/>
                          <w:szCs w:val="22"/>
                        </w:rPr>
                      </w:r>
                    </w:p>
                    <w:p>
                      <w:pPr>
                        <w:ind w:left="-142"/>
                        <w:rPr>
                          <w:i/>
                          <w:iCs/>
                          <w:sz w:val="22"/>
                          <w:szCs w:val="22"/>
                        </w:rPr>
                      </w:pPr>
                      <w:r>
                        <w:rPr>
                          <w:b/>
                          <w:bCs/>
                          <w:sz w:val="22"/>
                          <w:szCs w:val="22"/>
                          <w:lang w:val="en-us"/>
                        </w:rPr>
                        <w:t xml:space="preserve">Ketelaar, Eric. 1999. “Archivalisation and Archiving.” </w:t>
                      </w:r>
                      <w:r>
                        <w:rPr>
                          <w:b/>
                          <w:bCs/>
                          <w:i/>
                          <w:iCs/>
                          <w:sz w:val="22"/>
                          <w:szCs w:val="22"/>
                        </w:rPr>
                        <w:t>Archives</w:t>
                      </w:r>
                      <w:r>
                        <w:rPr>
                          <w:b/>
                          <w:bCs/>
                          <w:i/>
                          <w:iCs/>
                          <w:sz w:val="22"/>
                          <w:szCs w:val="22"/>
                        </w:rPr>
                        <w:t xml:space="preserve"> </w:t>
                      </w:r>
                      <w:r>
                        <w:rPr>
                          <w:b/>
                          <w:bCs/>
                          <w:i/>
                          <w:iCs/>
                          <w:sz w:val="22"/>
                          <w:szCs w:val="22"/>
                        </w:rPr>
                        <w:t>and</w:t>
                      </w:r>
                      <w:r>
                        <w:rPr>
                          <w:b/>
                          <w:bCs/>
                          <w:i/>
                          <w:iCs/>
                          <w:sz w:val="22"/>
                          <w:szCs w:val="22"/>
                        </w:rPr>
                        <w:t xml:space="preserve"> </w:t>
                      </w:r>
                      <w:r>
                        <w:rPr>
                          <w:b/>
                          <w:bCs/>
                          <w:i/>
                          <w:iCs/>
                          <w:sz w:val="22"/>
                          <w:szCs w:val="22"/>
                        </w:rPr>
                        <w:t>Manuscripts</w:t>
                      </w:r>
                      <w:r>
                        <w:rPr>
                          <w:b/>
                          <w:bCs/>
                          <w:sz w:val="22"/>
                          <w:szCs w:val="22"/>
                        </w:rPr>
                        <w:t xml:space="preserve"> 27: 54–61</w:t>
                      </w:r>
                      <w:r>
                        <w:rPr>
                          <w:b/>
                          <w:bCs/>
                          <w:i/>
                          <w:iCs/>
                          <w:sz w:val="22"/>
                          <w:szCs w:val="22"/>
                        </w:rPr>
                        <w:t>.</w:t>
                      </w:r>
                      <w:r>
                        <w:rPr>
                          <w:i/>
                          <w:iCs/>
                          <w:sz w:val="22"/>
                          <w:szCs w:val="22"/>
                        </w:rPr>
                        <w:t xml:space="preserve"> Voor inzicht in hoe archieven ontstaan en welke keuzes bepalen wat wordt bewaard.</w:t>
                      </w:r>
                      <w:r>
                        <w:rPr>
                          <w:i/>
                          <w:iCs/>
                          <w:sz w:val="22"/>
                          <w:szCs w:val="22"/>
                        </w:rPr>
                      </w:r>
                    </w:p>
                    <w:p>
                      <w:pPr>
                        <w:ind w:left="-142"/>
                        <w:rPr>
                          <w:b/>
                          <w:bCs/>
                          <w:sz w:val="22"/>
                          <w:szCs w:val="22"/>
                        </w:rPr>
                      </w:pPr>
                      <w:r>
                        <w:rPr>
                          <w:b/>
                          <w:bCs/>
                          <w:sz w:val="22"/>
                          <w:szCs w:val="22"/>
                          <w:lang w:val="en-us"/>
                        </w:rPr>
                        <w:t xml:space="preserve">Schwartz, Joan M., en Terry Cook. 2002. “Archives, Records, and Power: The Making of Modern Memory.” </w:t>
                      </w:r>
                      <w:r>
                        <w:rPr>
                          <w:b/>
                          <w:bCs/>
                          <w:i/>
                          <w:iCs/>
                          <w:sz w:val="22"/>
                          <w:szCs w:val="22"/>
                        </w:rPr>
                        <w:t>Archival Science</w:t>
                      </w:r>
                      <w:r>
                        <w:rPr>
                          <w:b/>
                          <w:bCs/>
                          <w:sz w:val="22"/>
                          <w:szCs w:val="22"/>
                        </w:rPr>
                        <w:t xml:space="preserve"> 2 (1–2): 1–19. </w:t>
                      </w:r>
                      <w:r>
                        <w:rPr>
                          <w:i/>
                          <w:iCs/>
                          <w:sz w:val="22"/>
                          <w:szCs w:val="22"/>
                        </w:rPr>
                        <w:t>Voor de machtsdynamiek achter archiefvorming en de productie van stilte.</w:t>
                      </w:r>
                      <w:r>
                        <w:rPr>
                          <w:b/>
                          <w:bCs/>
                          <w:sz w:val="22"/>
                          <w:szCs w:val="22"/>
                        </w:rPr>
                      </w:r>
                    </w:p>
                    <w:p>
                      <w:pPr>
                        <w:ind w:left="-142"/>
                      </w:pPr>
                      <w:r/>
                    </w:p>
                  </w:txbxContent>
                </v:textbox>
              </v:rect>
            </w:pict>
          </mc:Fallback>
        </mc:AlternateContent>
      </w:r>
      <w:r/>
    </w:p>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417" w:footer="70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pPr>
    </w:p>
    <w:p>
      <w:pPr>
        <w:rPr>
          <w:szCs w:val="24"/>
        </w:rPr>
      </w:pPr>
      <w:r>
        <w:rPr>
          <w:szCs w:val="24"/>
        </w:rPr>
      </w:r>
    </w:p>
    <w:p>
      <w:pPr>
        <w:pStyle w:val="para1"/>
      </w:pPr>
      <w:bookmarkStart w:id="17" w:name="_Toc232185154"/>
      <w:r>
        <w:t>5. Methodes, invalshoeken voor werken met deze bronnen</w:t>
      </w:r>
      <w:bookmarkEnd w:id="17"/>
      <w:r/>
    </w:p>
    <w:p>
      <w:pPr>
        <w:rPr>
          <w:szCs w:val="24"/>
        </w:rPr>
      </w:pPr>
      <w:r>
        <w:rPr>
          <w:szCs w:val="24"/>
        </w:rPr>
        <w:t>Onderzoek naar sodomie vóór 1730 vraagt om een methodologische benadering die rekening houdt met de gefragmenteerde, normatieve en sterk institutioneel gevormde aard van de bronbasis. De bronnen tonen niet alleen wat er gebeurde, maar vooral wat instellingen konden, wilden en durfden te registreren. Daarom is het noodzakelijk om bronnen te lezen binnen hun institutionele logica, om methodologische valkuilen expliciet te vermijden, en om verschillende analytische strategieën te combineren. In dit hoofdstuk worden drie centrale invalshoeken uiteengezet.</w:t>
      </w:r>
    </w:p>
    <w:p>
      <w:pPr>
        <w:pStyle w:val="para3"/>
      </w:pPr>
      <w:bookmarkStart w:id="18" w:name="_Toc232185155"/>
      <w:r>
        <w:t>5.1 Methodologische valkuilen en hoe ze te vermijden</w:t>
      </w:r>
      <w:bookmarkEnd w:id="18"/>
      <w:r/>
    </w:p>
    <w:p>
      <w:pPr>
        <w:rPr>
          <w:szCs w:val="24"/>
        </w:rPr>
      </w:pPr>
      <w:r>
        <w:rPr>
          <w:szCs w:val="24"/>
        </w:rPr>
        <w:t>Werken met deze bronnen vereist methodologische voorzichtigheid. Een eerste valkuil is psychologisering: het lezen van (emotie)taal als directe toegang tot innerlijke beleving. Verdachten schreven hun eigen verklaringen niet; notarissen noteerden geen gevoelens; preken beschrijven ideale emoties, geen feitelijke. Het reconstrueren van ‘wat iemand voelde of ervaarde’ is daarom methodologisch onhoudbaar.</w:t>
      </w:r>
    </w:p>
    <w:p>
      <w:pPr>
        <w:rPr>
          <w:szCs w:val="24"/>
        </w:rPr>
      </w:pPr>
      <w:r>
        <w:rPr>
          <w:szCs w:val="24"/>
        </w:rPr>
        <w:t>Een tweede valkuil is anachronisme. Moderne concepten als ‘seksuele identiteit’, ‘homoseksualiteit’ of ‘seksuele oriëntatie’ bestonden niet in de vroegmoderne periode. Sodomie was vóór 1730 geen stabiele sociale identiteit, maar een juridische en morele categorie. Pas na 1730 zien we dat sommige mensen de term ook als zelfbenoeming gebruiken. Het is daarom essentieel om vroegmoderne termen binnen hun eigen semantische en institutionele context te lezen.</w:t>
      </w:r>
    </w:p>
    <w:p>
      <w:pPr>
        <w:rPr>
          <w:szCs w:val="24"/>
        </w:rPr>
      </w:pPr>
      <w:r>
        <w:rPr>
          <w:szCs w:val="24"/>
        </w:rPr>
        <w:t>Een derde valkuil betreft stilte. Stilte in het archief is geen leegte, maar een historisch fenomeen dat voortkomt uit institutionele selectie, sociale gevoeligheid en culturele terughoudendheid. Het ontbreken van expliciete termen betekent niet dat er niets gebeurde, het betekent dat bepaalde gebeurtenissen niet konden of mochten worden geregistreerd. Stilte moet daarom worden geanalyseerd, niet gevuld.</w:t>
      </w:r>
    </w:p>
    <w:p>
      <w:pPr>
        <w:rPr>
          <w:szCs w:val="24"/>
        </w:rPr>
      </w:pPr>
      <w:r>
        <w:rPr>
          <w:szCs w:val="24"/>
        </w:rPr>
        <w:t>Tot slot is er de valkuil van bronhomogenisering: het behandelen van alle bronsoorten alsof zij hetzelfde soort informatie leveren. Een notariële akte functioneert anders dan een verhoor; een mandement anders dan een stedelijke resolutie. Institutionele contextualisering is daarom cruciaal.</w:t>
      </w:r>
    </w:p>
    <w:p>
      <w:pPr>
        <w:pStyle w:val="para3"/>
      </w:pPr>
      <w:bookmarkStart w:id="19" w:name="_Toc232185156"/>
      <w:r>
        <w:t>5.2 Analytische strategieën: triangulatie, vergelijking en emotiegeschiedenis</w:t>
      </w:r>
      <w:bookmarkEnd w:id="19"/>
      <w:r/>
    </w:p>
    <w:p>
      <w:pPr>
        <w:rPr>
          <w:szCs w:val="24"/>
        </w:rPr>
      </w:pPr>
      <w:r>
        <w:rPr>
          <w:szCs w:val="24"/>
        </w:rPr>
        <w:t>Omdat elke bronsoort slechts een deel van de werkelijkheid toont, is het noodzakelijk om verschillende analytische strategieën te combineren.</w:t>
      </w:r>
    </w:p>
    <w:p>
      <w:pPr>
        <w:rPr>
          <w:szCs w:val="24"/>
        </w:rPr>
      </w:pPr>
      <w:r>
        <w:rPr>
          <w:szCs w:val="24"/>
        </w:rPr>
        <w:t>Triangulatie is essentieel: straf- en processtukken, notariële akten, administratieve registraties, kerkelijke teksten en normatieve literatuur moeten naast elkaar worden gelegd. Wat in de ene bron impliciet blijft, kan in een andere expliciet worden. Triangulatie maakt het mogelijk om sociale dynamieken te reconstrueren die geen enkele bronsoort afzonderlijk toont.</w:t>
      </w:r>
    </w:p>
    <w:p>
      <w:pPr>
        <w:rPr>
          <w:szCs w:val="24"/>
        </w:rPr>
      </w:pPr>
      <w:r>
        <w:rPr>
          <w:szCs w:val="24"/>
        </w:rPr>
        <w:t>Vergelijking biedt een tweede invalshoek. De Zuidelijke Nederlanden beschikken over veel archiefmateriaal, waardoor bepaalde patronen daar beter zichtbaar zijn dan in de Republiek. Door Noordelijke en Zuidelijke contexten naast elkaar te leggen, wordt duidelijk welke elementen structureel zijn en welke specifiek zijn voor een bepaalde regio of instelling.</w:t>
      </w:r>
    </w:p>
    <w:p>
      <w:pPr>
        <w:rPr>
          <w:szCs w:val="24"/>
        </w:rPr>
      </w:pPr>
      <w:r>
        <w:rPr>
          <w:szCs w:val="24"/>
        </w:rPr>
        <w:t>Emotiegeschiedenis vormt een derde analytische strategie. Niet omdat zij emoties reconstrueert, maar omdat zij laat zien hoe emoties functioneren binnen machtsstructuren, instituties en discursieve praktijken. Emotiegeschiedenis maakt zichtbaar hoe normativiteit, stilte en institutionele verwachtingen samen het archief vormden. Zij biedt een manier om bronnen te lezen als performatieve teksten, niet als transparante vensters op innerlijkheid.</w:t>
      </w:r>
    </w:p>
    <w:p>
      <w:pPr>
        <w:rPr>
          <w:szCs w:val="24"/>
        </w:rPr>
      </w:pPr>
      <w:r>
        <w:rPr>
          <w:szCs w:val="24"/>
        </w:rPr>
        <w:t>Samen maken deze methodes het mogelijk om met een gefragmenteerde, normatieve en vaak stille bronbasis toch tot historisch verantwoorde inzichten te komen. De methodes verschuiven de focus niet volledig weg van de vraag ‘wat gebeurde er?’, maar maken duidelijk dat deze vraag beantwoord kan worden door te analyseren onder welke voorwaarden iets zichtbaar, geregistreerd of vervolgd werd.</w:t>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pPr>
        <w:rPr>
          <w:szCs w:val="24"/>
        </w:rPr>
      </w:pPr>
      <w:r>
        <w:rPr>
          <w:szCs w:val="24"/>
        </w:rPr>
      </w:r>
    </w:p>
    <w:p>
      <w:r>
        <w:rPr>
          <w:noProof/>
        </w:rPr>
        <mc:AlternateContent>
          <mc:Choice Requires="wps">
            <w:drawing>
              <wp:anchor distT="45720" distB="45720" distL="114300" distR="114300" simplePos="0" relativeHeight="251658244" behindDoc="1" locked="0" layoutInCell="0" hidden="0" allowOverlap="1">
                <wp:simplePos x="0" y="0"/>
                <wp:positionH relativeFrom="column">
                  <wp:posOffset>-296545</wp:posOffset>
                </wp:positionH>
                <wp:positionV relativeFrom="page">
                  <wp:posOffset>476250</wp:posOffset>
                </wp:positionV>
                <wp:extent cx="6416040" cy="8372475"/>
                <wp:effectExtent l="38100" t="38100" r="38100" b="38100"/>
                <wp:wrapTopAndBottom/>
                <wp:docPr id="4" name="Tekstvak 5"/>
                <wp:cNvGraphicFramePr/>
                <a:graphic xmlns:a="http://schemas.openxmlformats.org/drawingml/2006/main">
                  <a:graphicData uri="http://schemas.microsoft.com/office/word/2010/wordprocessingShape">
                    <wps:wsp>
                      <wps:cNvSpPr>
                        <a:extLst>
                          <a:ext uri="sm">
                            <sm:smNativeData xmlns:sm="sm" val="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QBAAAAIQAAAAAAAAAAAAAAAAAAAgAAAC3+//8AAAAAAAAAAO4CAAB4JwAAgTMAAB4AAAC2AwAA7gIAACgAAAAIAAAAAQAAAAEAAAAwAAAAFAAAAAAAAAAAAP//AAABAAAA//8AAAEA"/>
                          </a:ext>
                        </a:extLst>
                      </wps:cNvSpPr>
                      <wps:spPr>
                        <a:xfrm>
                          <a:off x="0" y="0"/>
                          <a:ext cx="6416040" cy="8372475"/>
                        </a:xfrm>
                        <a:prstGeom prst="rect">
                          <a:avLst/>
                        </a:prstGeom>
                        <a:solidFill>
                          <a:srgbClr val="C0CAB5"/>
                        </a:solidFill>
                        <a:ln w="38100">
                          <a:solidFill>
                            <a:srgbClr val="A4AE93"/>
                          </a:solidFill>
                        </a:ln>
                      </wps:spPr>
                      <wps:txbx>
                        <w:txbxContent>
                          <w:p>
                            <w:pPr>
                              <w:ind w:left="-142"/>
                              <w:rPr>
                                <w:b/>
                                <w:bCs/>
                                <w:sz w:val="28"/>
                                <w:szCs w:val="28"/>
                              </w:rPr>
                            </w:pPr>
                            <w:r>
                              <w:rPr>
                                <w:b/>
                                <w:bCs/>
                                <w:sz w:val="28"/>
                                <w:szCs w:val="28"/>
                              </w:rPr>
                              <w:t xml:space="preserve">Gebruikte literatuur </w:t>
                            </w:r>
                          </w:p>
                          <w:p>
                            <w:pPr>
                              <w:ind w:left="-142"/>
                              <w:rPr>
                                <w:i/>
                                <w:iCs/>
                                <w:sz w:val="22"/>
                                <w:szCs w:val="22"/>
                              </w:rPr>
                            </w:pPr>
                            <w:r>
                              <w:rPr>
                                <w:b/>
                                <w:bCs/>
                                <w:sz w:val="22"/>
                                <w:szCs w:val="22"/>
                                <w:lang w:val="en-us"/>
                              </w:rPr>
                              <w:t xml:space="preserve">Ginzburg, Carlo. 1993. “Microhistory: Two or Three Things That I Know about It.” </w:t>
                            </w:r>
                            <w:r>
                              <w:rPr>
                                <w:b/>
                                <w:bCs/>
                                <w:i/>
                                <w:iCs/>
                                <w:sz w:val="22"/>
                                <w:szCs w:val="22"/>
                              </w:rPr>
                              <w:t xml:space="preserve">Critical </w:t>
                            </w:r>
                            <w:r>
                              <w:rPr>
                                <w:b/>
                                <w:bCs/>
                                <w:i/>
                                <w:iCs/>
                                <w:sz w:val="22"/>
                                <w:szCs w:val="22"/>
                              </w:rPr>
                              <w:t>Inquiry</w:t>
                            </w:r>
                            <w:r>
                              <w:rPr>
                                <w:b/>
                                <w:bCs/>
                                <w:sz w:val="22"/>
                                <w:szCs w:val="22"/>
                              </w:rPr>
                              <w:t xml:space="preserve"> 20 (1): 10–35. </w:t>
                            </w:r>
                            <w:r>
                              <w:rPr>
                                <w:i/>
                                <w:iCs/>
                                <w:sz w:val="22"/>
                                <w:szCs w:val="22"/>
                              </w:rPr>
                              <w:t>Voor het microhistorische principe dat kleine, fragmentarische bronnen grote structuren kunnen onthullen.</w:t>
                            </w:r>
                            <w:r>
                              <w:rPr>
                                <w:i/>
                                <w:iCs/>
                                <w:sz w:val="22"/>
                                <w:szCs w:val="22"/>
                              </w:rPr>
                            </w:r>
                          </w:p>
                          <w:p>
                            <w:pPr>
                              <w:ind w:left="-142"/>
                              <w:rPr>
                                <w:i/>
                                <w:iCs/>
                                <w:sz w:val="22"/>
                                <w:szCs w:val="22"/>
                              </w:rPr>
                            </w:pPr>
                            <w:r>
                              <w:rPr>
                                <w:b/>
                                <w:bCs/>
                                <w:sz w:val="22"/>
                                <w:szCs w:val="22"/>
                                <w:lang w:val="en-us"/>
                              </w:rPr>
                              <w:t xml:space="preserve">Levi, Giovanni. 1991. “On Microhistory.” In </w:t>
                            </w:r>
                            <w:r>
                              <w:rPr>
                                <w:b/>
                                <w:bCs/>
                                <w:i/>
                                <w:iCs/>
                                <w:sz w:val="22"/>
                                <w:szCs w:val="22"/>
                                <w:lang w:val="en-us"/>
                              </w:rPr>
                              <w:t>New Perspectives on Historical Writing</w:t>
                            </w:r>
                            <w:r>
                              <w:rPr>
                                <w:b/>
                                <w:bCs/>
                                <w:sz w:val="22"/>
                                <w:szCs w:val="22"/>
                                <w:lang w:val="en-us"/>
                              </w:rPr>
                              <w:t xml:space="preserve">, edited by Peter Burke, 93–113. </w:t>
                            </w:r>
                            <w:r>
                              <w:rPr>
                                <w:b/>
                                <w:bCs/>
                                <w:sz w:val="22"/>
                                <w:szCs w:val="22"/>
                              </w:rPr>
                              <w:t xml:space="preserve">Cambridge: Polity Press. </w:t>
                            </w:r>
                            <w:r>
                              <w:rPr>
                                <w:i/>
                                <w:iCs/>
                                <w:sz w:val="22"/>
                                <w:szCs w:val="22"/>
                              </w:rPr>
                              <w:t>Voor triangulatie en het combineren van ongelijksoortige bronnen om sociale dynamieken te reconstrueren.</w:t>
                            </w:r>
                            <w:r>
                              <w:rPr>
                                <w:i/>
                                <w:iCs/>
                                <w:sz w:val="22"/>
                                <w:szCs w:val="22"/>
                              </w:rPr>
                            </w:r>
                          </w:p>
                          <w:p>
                            <w:pPr>
                              <w:ind w:left="-142"/>
                              <w:rPr>
                                <w:b/>
                                <w:bCs/>
                                <w:sz w:val="22"/>
                                <w:szCs w:val="22"/>
                              </w:rPr>
                            </w:pPr>
                            <w:r>
                              <w:rPr>
                                <w:b/>
                                <w:bCs/>
                                <w:sz w:val="22"/>
                                <w:szCs w:val="22"/>
                                <w:lang w:val="en-us"/>
                              </w:rPr>
                              <w:t xml:space="preserve">Reddy, William. 2001. </w:t>
                            </w:r>
                            <w:r>
                              <w:rPr>
                                <w:b/>
                                <w:bCs/>
                                <w:i/>
                                <w:iCs/>
                                <w:sz w:val="22"/>
                                <w:szCs w:val="22"/>
                                <w:lang w:val="en-us"/>
                              </w:rPr>
                              <w:t>The Navigation of Feeling: A Framework for the History of Emotions</w:t>
                            </w:r>
                            <w:r>
                              <w:rPr>
                                <w:b/>
                                <w:bCs/>
                                <w:sz w:val="22"/>
                                <w:szCs w:val="22"/>
                                <w:lang w:val="en-us"/>
                              </w:rPr>
                              <w:t xml:space="preserve">. </w:t>
                            </w:r>
                            <w:r>
                              <w:rPr>
                                <w:b/>
                                <w:bCs/>
                                <w:sz w:val="22"/>
                                <w:szCs w:val="22"/>
                              </w:rPr>
                              <w:t xml:space="preserve">Cambridge: Cambridge University Press. </w:t>
                            </w:r>
                            <w:r>
                              <w:rPr>
                                <w:i/>
                                <w:iCs/>
                                <w:sz w:val="22"/>
                                <w:szCs w:val="22"/>
                              </w:rPr>
                              <w:t>Voor het idee dat emoties performatief en normatief zijn, niet transparant.</w:t>
                            </w:r>
                            <w:r>
                              <w:rPr>
                                <w:b/>
                                <w:bCs/>
                                <w:sz w:val="22"/>
                                <w:szCs w:val="22"/>
                              </w:rPr>
                            </w:r>
                          </w:p>
                          <w:p>
                            <w:pPr>
                              <w:ind w:left="-142"/>
                              <w:rPr>
                                <w:b/>
                                <w:bCs/>
                                <w:sz w:val="22"/>
                                <w:szCs w:val="22"/>
                              </w:rPr>
                            </w:pPr>
                            <w:r>
                              <w:rPr>
                                <w:b/>
                                <w:bCs/>
                                <w:sz w:val="22"/>
                                <w:szCs w:val="22"/>
                                <w:lang w:val="en-us"/>
                              </w:rPr>
                              <w:t xml:space="preserve">Rosenwein, Barbara. 2006. </w:t>
                            </w:r>
                            <w:r>
                              <w:rPr>
                                <w:b/>
                                <w:bCs/>
                                <w:i/>
                                <w:iCs/>
                                <w:sz w:val="22"/>
                                <w:szCs w:val="22"/>
                                <w:lang w:val="en-us"/>
                              </w:rPr>
                              <w:t>Emotional Communities in the Early Middle Ages</w:t>
                            </w:r>
                            <w:r>
                              <w:rPr>
                                <w:b/>
                                <w:bCs/>
                                <w:sz w:val="22"/>
                                <w:szCs w:val="22"/>
                                <w:lang w:val="en-us"/>
                              </w:rPr>
                              <w:t xml:space="preserve">. </w:t>
                            </w:r>
                            <w:r>
                              <w:rPr>
                                <w:b/>
                                <w:bCs/>
                                <w:sz w:val="22"/>
                                <w:szCs w:val="22"/>
                              </w:rPr>
                              <w:t xml:space="preserve">Ithaca: Cornell University Press. </w:t>
                            </w:r>
                            <w:r>
                              <w:rPr>
                                <w:i/>
                                <w:iCs/>
                                <w:sz w:val="22"/>
                                <w:szCs w:val="22"/>
                              </w:rPr>
                              <w:t>Voor het concept van emotionele regimes en waarom emotietaal niet als directe innerlijkheid gelezen mag worden.</w:t>
                            </w:r>
                            <w:r>
                              <w:rPr>
                                <w:b/>
                                <w:bCs/>
                                <w:sz w:val="22"/>
                                <w:szCs w:val="22"/>
                              </w:rPr>
                            </w:r>
                          </w:p>
                          <w:p>
                            <w:pPr>
                              <w:ind w:left="-142"/>
                              <w:rPr>
                                <w:b/>
                                <w:bCs/>
                                <w:sz w:val="22"/>
                                <w:szCs w:val="22"/>
                              </w:rPr>
                            </w:pPr>
                            <w:r>
                              <w:rPr>
                                <w:b/>
                                <w:bCs/>
                                <w:sz w:val="22"/>
                                <w:szCs w:val="22"/>
                              </w:rPr>
                              <w:t xml:space="preserve">Stoler, Ann Laura. </w:t>
                            </w:r>
                            <w:r>
                              <w:rPr>
                                <w:b/>
                                <w:bCs/>
                                <w:sz w:val="22"/>
                                <w:szCs w:val="22"/>
                                <w:lang w:val="en-us"/>
                              </w:rPr>
                              <w:t xml:space="preserve">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Gebruikt voor het concept van archivering als governance en institutionele filtering.</w:t>
                            </w:r>
                            <w:r>
                              <w:rPr>
                                <w:b/>
                                <w:bCs/>
                                <w:sz w:val="22"/>
                                <w:szCs w:val="22"/>
                              </w:rPr>
                            </w:r>
                          </w:p>
                          <w:p>
                            <w:pPr>
                              <w:ind w:left="-142"/>
                              <w:rPr>
                                <w:i/>
                                <w:i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Gebruikt voor het analytisch kader rond stilte, niet</w:t>
                            </w:r>
                            <w:r>
                              <w:rPr>
                                <w:i/>
                                <w:iCs/>
                                <w:sz w:val="22"/>
                                <w:szCs w:val="22"/>
                              </w:rPr>
                              <w:noBreakHyphen/>
                              <w:t>registratie en de productie van historische feiten.</w:t>
                            </w:r>
                            <w:r>
                              <w:rPr>
                                <w:i/>
                                <w:iCs/>
                                <w:sz w:val="22"/>
                                <w:szCs w:val="22"/>
                              </w:rPr>
                            </w:r>
                          </w:p>
                          <w:p>
                            <w:pPr>
                              <w:ind w:left="-142"/>
                              <w:rPr>
                                <w:b/>
                                <w:bCs/>
                                <w:sz w:val="28"/>
                                <w:szCs w:val="28"/>
                              </w:rPr>
                            </w:pPr>
                            <w:r>
                              <w:rPr>
                                <w:b/>
                                <w:bCs/>
                                <w:sz w:val="28"/>
                                <w:szCs w:val="28"/>
                              </w:rPr>
                              <w:t>Aanbevolen literatuur voor verdieping</w:t>
                            </w:r>
                          </w:p>
                          <w:p>
                            <w:pPr>
                              <w:ind w:left="-142"/>
                              <w:rPr>
                                <w:i/>
                                <w:iCs/>
                                <w:sz w:val="22"/>
                                <w:szCs w:val="22"/>
                              </w:rPr>
                            </w:pPr>
                            <w:r>
                              <w:rPr>
                                <w:b/>
                                <w:bCs/>
                                <w:sz w:val="22"/>
                                <w:szCs w:val="22"/>
                              </w:rPr>
                              <w:t xml:space="preserve">Dekker, Rudolf M., en Lotte C. van de Pol. 1989. </w:t>
                            </w:r>
                            <w:r>
                              <w:rPr>
                                <w:b/>
                                <w:bCs/>
                                <w:i/>
                                <w:iCs/>
                                <w:sz w:val="22"/>
                                <w:szCs w:val="22"/>
                              </w:rPr>
                              <w:t>Vrouwen in Mannenkleren: De geschiedenis van een tegendraadse traditie</w:t>
                            </w:r>
                            <w:r>
                              <w:rPr>
                                <w:b/>
                                <w:bCs/>
                                <w:sz w:val="22"/>
                                <w:szCs w:val="22"/>
                              </w:rPr>
                              <w:t xml:space="preserve">. Amsterdam: Wereldbibliotheek. </w:t>
                            </w:r>
                            <w:r>
                              <w:rPr>
                                <w:i/>
                                <w:iCs/>
                                <w:sz w:val="22"/>
                                <w:szCs w:val="22"/>
                              </w:rPr>
                              <w:t xml:space="preserve">Voor inzicht in </w:t>
                            </w:r>
                            <w:r>
                              <w:rPr>
                                <w:i/>
                                <w:iCs/>
                                <w:sz w:val="22"/>
                                <w:szCs w:val="22"/>
                              </w:rPr>
                              <w:t>gendernormoverschrijding</w:t>
                            </w:r>
                            <w:r>
                              <w:rPr>
                                <w:i/>
                                <w:iCs/>
                                <w:sz w:val="22"/>
                                <w:szCs w:val="22"/>
                              </w:rPr>
                              <w:t>, vrouwelijke zichtbaarheid in strafarchieven en de uitzonderlijke gevallen waarin vrouwen in juridische</w:t>
                            </w:r>
                            <w:r>
                              <w:rPr>
                                <w:i/>
                                <w:iCs/>
                                <w:sz w:val="22"/>
                                <w:szCs w:val="22"/>
                              </w:rPr>
                              <w:t xml:space="preserve"> (en soms sodomie) </w:t>
                            </w:r>
                            <w:r>
                              <w:rPr>
                                <w:i/>
                                <w:iCs/>
                                <w:sz w:val="22"/>
                                <w:szCs w:val="22"/>
                              </w:rPr>
                              <w:t>contexten verschijnen.</w:t>
                            </w:r>
                            <w:r>
                              <w:rPr>
                                <w:i/>
                                <w:iCs/>
                                <w:sz w:val="22"/>
                                <w:szCs w:val="22"/>
                              </w:rPr>
                            </w:r>
                          </w:p>
                          <w:p>
                            <w:pPr>
                              <w:ind w:left="-142"/>
                            </w:pPr>
                            <w:r>
                              <w:rPr>
                                <w:b/>
                                <w:bCs/>
                                <w:lang w:val="en-us"/>
                              </w:rPr>
                              <w:t xml:space="preserve">Ginzburg, Carlo. 1980. </w:t>
                            </w:r>
                            <w:r>
                              <w:rPr>
                                <w:b/>
                                <w:bCs/>
                                <w:i/>
                                <w:iCs/>
                                <w:lang w:val="en-us"/>
                              </w:rPr>
                              <w:t>The Cheese and the Worms: The Cosmos of a Sixteenth</w:t>
                              <w:noBreakHyphen/>
                              <w:t>Century Miller</w:t>
                            </w:r>
                            <w:r>
                              <w:rPr>
                                <w:b/>
                                <w:bCs/>
                                <w:lang w:val="en-us"/>
                              </w:rPr>
                              <w:t xml:space="preserve">. </w:t>
                            </w:r>
                            <w:r>
                              <w:rPr>
                                <w:b/>
                                <w:bCs/>
                              </w:rPr>
                              <w:t>Baltimore: Johns Hopkins University Press.</w:t>
                            </w:r>
                            <w:r>
                              <w:t xml:space="preserve"> </w:t>
                            </w:r>
                            <w:r>
                              <w:rPr>
                                <w:i/>
                                <w:iCs/>
                              </w:rPr>
                              <w:t>Een goed, en bekend, voorbeeld van triangulatie: inquisitiedossiers, boekencatalogi, lokale gebruiken en taalpraktijken worden gecombineerd om één persoon te reconstrueren.</w:t>
                            </w:r>
                            <w:r/>
                          </w:p>
                          <w:p>
                            <w:pPr>
                              <w:ind w:left="-142"/>
                              <w:rPr>
                                <w:i/>
                                <w:iCs/>
                              </w:rPr>
                            </w:pPr>
                            <w:r>
                              <w:rPr>
                                <w:b/>
                                <w:bCs/>
                              </w:rPr>
                              <w:t xml:space="preserve">Hofman, Elwin, en Gerrit Verhoeven. </w:t>
                            </w:r>
                            <w:r>
                              <w:rPr>
                                <w:b/>
                                <w:bCs/>
                                <w:lang w:val="en-us"/>
                              </w:rPr>
                              <w:t xml:space="preserve">2022. “Confess and You’ll Feel Better! </w:t>
                            </w:r>
                            <w:r>
                              <w:rPr>
                                <w:b/>
                                <w:bCs/>
                              </w:rPr>
                              <w:t xml:space="preserve">The Dialogics of Interrogations, 1650–1850.” </w:t>
                            </w:r>
                            <w:r>
                              <w:rPr>
                                <w:b/>
                                <w:bCs/>
                                <w:i/>
                                <w:iCs/>
                              </w:rPr>
                              <w:t xml:space="preserve">Crime, </w:t>
                            </w:r>
                            <w:r>
                              <w:rPr>
                                <w:b/>
                                <w:bCs/>
                                <w:i/>
                                <w:iCs/>
                              </w:rPr>
                              <w:t>History</w:t>
                            </w:r>
                            <w:r>
                              <w:rPr>
                                <w:b/>
                                <w:bCs/>
                                <w:i/>
                                <w:iCs/>
                              </w:rPr>
                              <w:t xml:space="preserve"> &amp; </w:t>
                            </w:r>
                            <w:r>
                              <w:rPr>
                                <w:b/>
                                <w:bCs/>
                                <w:i/>
                                <w:iCs/>
                              </w:rPr>
                              <w:t>Societies</w:t>
                            </w:r>
                            <w:r>
                              <w:rPr>
                                <w:b/>
                                <w:bCs/>
                              </w:rPr>
                              <w:t xml:space="preserve"> 26 (1): 5–23.</w:t>
                            </w:r>
                            <w:r>
                              <w:t xml:space="preserve"> </w:t>
                            </w:r>
                            <w:r>
                              <w:rPr>
                                <w:i/>
                                <w:iCs/>
                              </w:rPr>
                              <w:t>Voor de dialogische aard van verhoren en hoe bekentenissen worden geproduceerd, niet onthuld.</w:t>
                            </w:r>
                            <w:r>
                              <w:rPr>
                                <w:i/>
                                <w:iCs/>
                              </w:rPr>
                            </w:r>
                          </w:p>
                          <w:p>
                            <w:pPr>
                              <w:ind w:left="-142"/>
                              <w:rPr>
                                <w:b/>
                                <w:bCs/>
                                <w:sz w:val="22"/>
                                <w:szCs w:val="22"/>
                              </w:rPr>
                            </w:pPr>
                            <w:r>
                              <w:rPr>
                                <w:b/>
                                <w:bCs/>
                                <w:sz w:val="22"/>
                                <w:szCs w:val="22"/>
                                <w:lang w:val="en-us"/>
                              </w:rPr>
                              <w:t>Roelens, Jonas. 2015. “Visible Women</w:t>
                            </w:r>
                            <w:r>
                              <w:rPr>
                                <w:rFonts w:ascii="Arial" w:hAnsi="Arial" w:cs="Arial"/>
                                <w:b/>
                                <w:bCs/>
                                <w:sz w:val="22"/>
                                <w:szCs w:val="22"/>
                                <w:lang w:val="en-us"/>
                              </w:rPr>
                              <w:t> </w:t>
                            </w:r>
                            <w:r>
                              <w:rPr>
                                <w:b/>
                                <w:bCs/>
                                <w:sz w:val="22"/>
                                <w:szCs w:val="22"/>
                                <w:lang w:val="en-us"/>
                              </w:rPr>
                              <w:t>: Female Sodomy in the Late Medieval and Early Modern Southern Netherlands (1400-1550).</w:t>
                            </w:r>
                            <w:r>
                              <w:rPr>
                                <w:rFonts w:cs="Aptos"/>
                                <w:b/>
                                <w:bCs/>
                                <w:sz w:val="22"/>
                                <w:szCs w:val="22"/>
                                <w:lang w:val="en-us"/>
                              </w:rPr>
                              <w:t>” </w:t>
                            </w:r>
                            <w:r>
                              <w:rPr>
                                <w:rFonts w:cs="Aptos"/>
                                <w:b/>
                                <w:bCs/>
                                <w:i/>
                                <w:iCs/>
                                <w:sz w:val="22"/>
                                <w:szCs w:val="22"/>
                              </w:rPr>
                              <w:t xml:space="preserve">BMGN- The Low Countries Historical Review </w:t>
                            </w:r>
                            <w:r>
                              <w:rPr>
                                <w:b/>
                                <w:bCs/>
                                <w:sz w:val="22"/>
                                <w:szCs w:val="22"/>
                              </w:rPr>
                              <w:t xml:space="preserve">130 (3): 3–24. </w:t>
                            </w:r>
                            <w:r>
                              <w:rPr>
                                <w:i/>
                                <w:iCs/>
                                <w:sz w:val="22"/>
                                <w:szCs w:val="22"/>
                              </w:rPr>
                              <w:t>Voor de aan- en afwezigheid van vrouwen in vroegmoderne bronnen over sodomie.</w:t>
                            </w:r>
                            <w:r>
                              <w:rPr>
                                <w:b/>
                                <w:bCs/>
                                <w:sz w:val="22"/>
                                <w:szCs w:val="22"/>
                              </w:rPr>
                            </w:r>
                          </w:p>
                          <w:p>
                            <w:pPr>
                              <w:ind w:left="-142"/>
                              <w:rPr>
                                <w:i/>
                                <w:iCs/>
                              </w:rPr>
                            </w:pPr>
                            <w:r>
                              <w:rPr>
                                <w:b/>
                                <w:bCs/>
                                <w:lang w:val="en-us"/>
                              </w:rPr>
                              <w:t xml:space="preserve">Sharpe, Jim. 1991. “History from Below.” In </w:t>
                            </w:r>
                            <w:r>
                              <w:rPr>
                                <w:b/>
                                <w:bCs/>
                                <w:i/>
                                <w:iCs/>
                                <w:lang w:val="en-us"/>
                              </w:rPr>
                              <w:t>New Perspectives on Historical Writing</w:t>
                            </w:r>
                            <w:r>
                              <w:rPr>
                                <w:b/>
                                <w:bCs/>
                                <w:lang w:val="en-us"/>
                              </w:rPr>
                              <w:t xml:space="preserve">, edited by Peter Burke, 24–41. </w:t>
                            </w:r>
                            <w:r>
                              <w:rPr>
                                <w:b/>
                                <w:bCs/>
                              </w:rPr>
                              <w:t>Cambridge: Polity Press.</w:t>
                            </w:r>
                            <w:r>
                              <w:t xml:space="preserve"> </w:t>
                            </w:r>
                            <w:r>
                              <w:rPr>
                                <w:i/>
                                <w:iCs/>
                              </w:rPr>
                              <w:t>Voor het combineren van bronnen om groepen zichtbaar te maken die zelf weinig sporen nalaten.</w:t>
                            </w:r>
                            <w:r>
                              <w:rPr>
                                <w:i/>
                                <w:iCs/>
                              </w:r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5" o:spid="_x0000_s1029" style="position:absolute;margin-left:-23.35pt;margin-top:37.50pt;mso-position-vertical-relative:page;width:505.20pt;height:659.25pt;z-index:251658244;mso-wrap-distance-left:9.00pt;mso-wrap-distance-top:3.60pt;mso-wrap-distance-right:9.00pt;mso-wrap-distance-bottom:3.60pt;mso-wrap-style:square" strokeweight="3.00pt" strokecolor="#a4ae93" fillcolor="#c0cab5" v:ext="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QBAAAAIQAAAAAAAAAAAAAAAAAAAgAAAC3+//8AAAAAAAAAAO4CAAB4JwAAgTMAAB4AAAC2AwAA7gI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rPr>
                      </w:pPr>
                      <w:r>
                        <w:rPr>
                          <w:b/>
                          <w:bCs/>
                          <w:sz w:val="28"/>
                          <w:szCs w:val="28"/>
                        </w:rPr>
                        <w:t xml:space="preserve">Gebruikte literatuur </w:t>
                      </w:r>
                    </w:p>
                    <w:p>
                      <w:pPr>
                        <w:ind w:left="-142"/>
                        <w:rPr>
                          <w:i/>
                          <w:iCs/>
                          <w:sz w:val="22"/>
                          <w:szCs w:val="22"/>
                        </w:rPr>
                      </w:pPr>
                      <w:r>
                        <w:rPr>
                          <w:b/>
                          <w:bCs/>
                          <w:sz w:val="22"/>
                          <w:szCs w:val="22"/>
                          <w:lang w:val="en-us"/>
                        </w:rPr>
                        <w:t xml:space="preserve">Ginzburg, Carlo. 1993. “Microhistory: Two or Three Things That I Know about It.” </w:t>
                      </w:r>
                      <w:r>
                        <w:rPr>
                          <w:b/>
                          <w:bCs/>
                          <w:i/>
                          <w:iCs/>
                          <w:sz w:val="22"/>
                          <w:szCs w:val="22"/>
                        </w:rPr>
                        <w:t xml:space="preserve">Critical </w:t>
                      </w:r>
                      <w:r>
                        <w:rPr>
                          <w:b/>
                          <w:bCs/>
                          <w:i/>
                          <w:iCs/>
                          <w:sz w:val="22"/>
                          <w:szCs w:val="22"/>
                        </w:rPr>
                        <w:t>Inquiry</w:t>
                      </w:r>
                      <w:r>
                        <w:rPr>
                          <w:b/>
                          <w:bCs/>
                          <w:sz w:val="22"/>
                          <w:szCs w:val="22"/>
                        </w:rPr>
                        <w:t xml:space="preserve"> 20 (1): 10–35. </w:t>
                      </w:r>
                      <w:r>
                        <w:rPr>
                          <w:i/>
                          <w:iCs/>
                          <w:sz w:val="22"/>
                          <w:szCs w:val="22"/>
                        </w:rPr>
                        <w:t>Voor het microhistorische principe dat kleine, fragmentarische bronnen grote structuren kunnen onthullen.</w:t>
                      </w:r>
                      <w:r>
                        <w:rPr>
                          <w:i/>
                          <w:iCs/>
                          <w:sz w:val="22"/>
                          <w:szCs w:val="22"/>
                        </w:rPr>
                      </w:r>
                    </w:p>
                    <w:p>
                      <w:pPr>
                        <w:ind w:left="-142"/>
                        <w:rPr>
                          <w:i/>
                          <w:iCs/>
                          <w:sz w:val="22"/>
                          <w:szCs w:val="22"/>
                        </w:rPr>
                      </w:pPr>
                      <w:r>
                        <w:rPr>
                          <w:b/>
                          <w:bCs/>
                          <w:sz w:val="22"/>
                          <w:szCs w:val="22"/>
                          <w:lang w:val="en-us"/>
                        </w:rPr>
                        <w:t xml:space="preserve">Levi, Giovanni. 1991. “On Microhistory.” In </w:t>
                      </w:r>
                      <w:r>
                        <w:rPr>
                          <w:b/>
                          <w:bCs/>
                          <w:i/>
                          <w:iCs/>
                          <w:sz w:val="22"/>
                          <w:szCs w:val="22"/>
                          <w:lang w:val="en-us"/>
                        </w:rPr>
                        <w:t>New Perspectives on Historical Writing</w:t>
                      </w:r>
                      <w:r>
                        <w:rPr>
                          <w:b/>
                          <w:bCs/>
                          <w:sz w:val="22"/>
                          <w:szCs w:val="22"/>
                          <w:lang w:val="en-us"/>
                        </w:rPr>
                        <w:t xml:space="preserve">, edited by Peter Burke, 93–113. </w:t>
                      </w:r>
                      <w:r>
                        <w:rPr>
                          <w:b/>
                          <w:bCs/>
                          <w:sz w:val="22"/>
                          <w:szCs w:val="22"/>
                        </w:rPr>
                        <w:t xml:space="preserve">Cambridge: Polity Press. </w:t>
                      </w:r>
                      <w:r>
                        <w:rPr>
                          <w:i/>
                          <w:iCs/>
                          <w:sz w:val="22"/>
                          <w:szCs w:val="22"/>
                        </w:rPr>
                        <w:t>Voor triangulatie en het combineren van ongelijksoortige bronnen om sociale dynamieken te reconstrueren.</w:t>
                      </w:r>
                      <w:r>
                        <w:rPr>
                          <w:i/>
                          <w:iCs/>
                          <w:sz w:val="22"/>
                          <w:szCs w:val="22"/>
                        </w:rPr>
                      </w:r>
                    </w:p>
                    <w:p>
                      <w:pPr>
                        <w:ind w:left="-142"/>
                        <w:rPr>
                          <w:b/>
                          <w:bCs/>
                          <w:sz w:val="22"/>
                          <w:szCs w:val="22"/>
                        </w:rPr>
                      </w:pPr>
                      <w:r>
                        <w:rPr>
                          <w:b/>
                          <w:bCs/>
                          <w:sz w:val="22"/>
                          <w:szCs w:val="22"/>
                          <w:lang w:val="en-us"/>
                        </w:rPr>
                        <w:t xml:space="preserve">Reddy, William. 2001. </w:t>
                      </w:r>
                      <w:r>
                        <w:rPr>
                          <w:b/>
                          <w:bCs/>
                          <w:i/>
                          <w:iCs/>
                          <w:sz w:val="22"/>
                          <w:szCs w:val="22"/>
                          <w:lang w:val="en-us"/>
                        </w:rPr>
                        <w:t>The Navigation of Feeling: A Framework for the History of Emotions</w:t>
                      </w:r>
                      <w:r>
                        <w:rPr>
                          <w:b/>
                          <w:bCs/>
                          <w:sz w:val="22"/>
                          <w:szCs w:val="22"/>
                          <w:lang w:val="en-us"/>
                        </w:rPr>
                        <w:t xml:space="preserve">. </w:t>
                      </w:r>
                      <w:r>
                        <w:rPr>
                          <w:b/>
                          <w:bCs/>
                          <w:sz w:val="22"/>
                          <w:szCs w:val="22"/>
                        </w:rPr>
                        <w:t xml:space="preserve">Cambridge: Cambridge University Press. </w:t>
                      </w:r>
                      <w:r>
                        <w:rPr>
                          <w:i/>
                          <w:iCs/>
                          <w:sz w:val="22"/>
                          <w:szCs w:val="22"/>
                        </w:rPr>
                        <w:t>Voor het idee dat emoties performatief en normatief zijn, niet transparant.</w:t>
                      </w:r>
                      <w:r>
                        <w:rPr>
                          <w:b/>
                          <w:bCs/>
                          <w:sz w:val="22"/>
                          <w:szCs w:val="22"/>
                        </w:rPr>
                      </w:r>
                    </w:p>
                    <w:p>
                      <w:pPr>
                        <w:ind w:left="-142"/>
                        <w:rPr>
                          <w:b/>
                          <w:bCs/>
                          <w:sz w:val="22"/>
                          <w:szCs w:val="22"/>
                        </w:rPr>
                      </w:pPr>
                      <w:r>
                        <w:rPr>
                          <w:b/>
                          <w:bCs/>
                          <w:sz w:val="22"/>
                          <w:szCs w:val="22"/>
                          <w:lang w:val="en-us"/>
                        </w:rPr>
                        <w:t xml:space="preserve">Rosenwein, Barbara. 2006. </w:t>
                      </w:r>
                      <w:r>
                        <w:rPr>
                          <w:b/>
                          <w:bCs/>
                          <w:i/>
                          <w:iCs/>
                          <w:sz w:val="22"/>
                          <w:szCs w:val="22"/>
                          <w:lang w:val="en-us"/>
                        </w:rPr>
                        <w:t>Emotional Communities in the Early Middle Ages</w:t>
                      </w:r>
                      <w:r>
                        <w:rPr>
                          <w:b/>
                          <w:bCs/>
                          <w:sz w:val="22"/>
                          <w:szCs w:val="22"/>
                          <w:lang w:val="en-us"/>
                        </w:rPr>
                        <w:t xml:space="preserve">. </w:t>
                      </w:r>
                      <w:r>
                        <w:rPr>
                          <w:b/>
                          <w:bCs/>
                          <w:sz w:val="22"/>
                          <w:szCs w:val="22"/>
                        </w:rPr>
                        <w:t xml:space="preserve">Ithaca: Cornell University Press. </w:t>
                      </w:r>
                      <w:r>
                        <w:rPr>
                          <w:i/>
                          <w:iCs/>
                          <w:sz w:val="22"/>
                          <w:szCs w:val="22"/>
                        </w:rPr>
                        <w:t>Voor het concept van emotionele regimes en waarom emotietaal niet als directe innerlijkheid gelezen mag worden.</w:t>
                      </w:r>
                      <w:r>
                        <w:rPr>
                          <w:b/>
                          <w:bCs/>
                          <w:sz w:val="22"/>
                          <w:szCs w:val="22"/>
                        </w:rPr>
                      </w:r>
                    </w:p>
                    <w:p>
                      <w:pPr>
                        <w:ind w:left="-142"/>
                        <w:rPr>
                          <w:b/>
                          <w:bCs/>
                          <w:sz w:val="22"/>
                          <w:szCs w:val="22"/>
                        </w:rPr>
                      </w:pPr>
                      <w:r>
                        <w:rPr>
                          <w:b/>
                          <w:bCs/>
                          <w:sz w:val="22"/>
                          <w:szCs w:val="22"/>
                        </w:rPr>
                        <w:t xml:space="preserve">Stoler, Ann Laura. </w:t>
                      </w:r>
                      <w:r>
                        <w:rPr>
                          <w:b/>
                          <w:bCs/>
                          <w:sz w:val="22"/>
                          <w:szCs w:val="22"/>
                          <w:lang w:val="en-us"/>
                        </w:rPr>
                        <w:t xml:space="preserve">2009. </w:t>
                      </w:r>
                      <w:r>
                        <w:rPr>
                          <w:b/>
                          <w:bCs/>
                          <w:i/>
                          <w:iCs/>
                          <w:sz w:val="22"/>
                          <w:szCs w:val="22"/>
                          <w:lang w:val="en-us"/>
                        </w:rPr>
                        <w:t>Along the Archival Grain: Epistemic Anxieties and Colonial Common Sense</w:t>
                      </w:r>
                      <w:r>
                        <w:rPr>
                          <w:b/>
                          <w:bCs/>
                          <w:sz w:val="22"/>
                          <w:szCs w:val="22"/>
                          <w:lang w:val="en-us"/>
                        </w:rPr>
                        <w:t xml:space="preserve">. </w:t>
                      </w:r>
                      <w:r>
                        <w:rPr>
                          <w:b/>
                          <w:bCs/>
                          <w:sz w:val="22"/>
                          <w:szCs w:val="22"/>
                        </w:rPr>
                        <w:t xml:space="preserve">Princeton: Princeton University Press. </w:t>
                      </w:r>
                      <w:r>
                        <w:rPr>
                          <w:i/>
                          <w:iCs/>
                          <w:sz w:val="22"/>
                          <w:szCs w:val="22"/>
                        </w:rPr>
                        <w:t>Gebruikt voor het concept van archivering als governance en institutionele filtering.</w:t>
                      </w:r>
                      <w:r>
                        <w:rPr>
                          <w:b/>
                          <w:bCs/>
                          <w:sz w:val="22"/>
                          <w:szCs w:val="22"/>
                        </w:rPr>
                      </w:r>
                    </w:p>
                    <w:p>
                      <w:pPr>
                        <w:ind w:left="-142"/>
                        <w:rPr>
                          <w:i/>
                          <w:iCs/>
                          <w:sz w:val="22"/>
                          <w:szCs w:val="22"/>
                        </w:rPr>
                      </w:pPr>
                      <w:r>
                        <w:rPr>
                          <w:b/>
                          <w:bCs/>
                          <w:sz w:val="22"/>
                          <w:szCs w:val="22"/>
                          <w:lang w:val="en-us"/>
                        </w:rPr>
                        <w:t>Trouillot, Michel</w:t>
                        <w:noBreakHyphen/>
                        <w:t xml:space="preserve">Rolph. 1995. </w:t>
                      </w:r>
                      <w:r>
                        <w:rPr>
                          <w:b/>
                          <w:bCs/>
                          <w:i/>
                          <w:iCs/>
                          <w:sz w:val="22"/>
                          <w:szCs w:val="22"/>
                          <w:lang w:val="en-us"/>
                        </w:rPr>
                        <w:t>Silencing the Past: Power and the Production of History</w:t>
                      </w:r>
                      <w:r>
                        <w:rPr>
                          <w:b/>
                          <w:bCs/>
                          <w:sz w:val="22"/>
                          <w:szCs w:val="22"/>
                          <w:lang w:val="en-us"/>
                        </w:rPr>
                        <w:t xml:space="preserve">. </w:t>
                      </w:r>
                      <w:r>
                        <w:rPr>
                          <w:b/>
                          <w:bCs/>
                          <w:sz w:val="22"/>
                          <w:szCs w:val="22"/>
                        </w:rPr>
                        <w:t xml:space="preserve">Boston: Beacon Press. </w:t>
                      </w:r>
                      <w:r>
                        <w:rPr>
                          <w:i/>
                          <w:iCs/>
                          <w:sz w:val="22"/>
                          <w:szCs w:val="22"/>
                        </w:rPr>
                        <w:t>Gebruikt voor het analytisch kader rond stilte, niet</w:t>
                      </w:r>
                      <w:r>
                        <w:rPr>
                          <w:i/>
                          <w:iCs/>
                          <w:sz w:val="22"/>
                          <w:szCs w:val="22"/>
                        </w:rPr>
                        <w:noBreakHyphen/>
                        <w:t>registratie en de productie van historische feiten.</w:t>
                      </w:r>
                      <w:r>
                        <w:rPr>
                          <w:i/>
                          <w:iCs/>
                          <w:sz w:val="22"/>
                          <w:szCs w:val="22"/>
                        </w:rPr>
                      </w:r>
                    </w:p>
                    <w:p>
                      <w:pPr>
                        <w:ind w:left="-142"/>
                        <w:rPr>
                          <w:b/>
                          <w:bCs/>
                          <w:sz w:val="28"/>
                          <w:szCs w:val="28"/>
                        </w:rPr>
                      </w:pPr>
                      <w:r>
                        <w:rPr>
                          <w:b/>
                          <w:bCs/>
                          <w:sz w:val="28"/>
                          <w:szCs w:val="28"/>
                        </w:rPr>
                        <w:t>Aanbevolen literatuur voor verdieping</w:t>
                      </w:r>
                    </w:p>
                    <w:p>
                      <w:pPr>
                        <w:ind w:left="-142"/>
                        <w:rPr>
                          <w:i/>
                          <w:iCs/>
                          <w:sz w:val="22"/>
                          <w:szCs w:val="22"/>
                        </w:rPr>
                      </w:pPr>
                      <w:r>
                        <w:rPr>
                          <w:b/>
                          <w:bCs/>
                          <w:sz w:val="22"/>
                          <w:szCs w:val="22"/>
                        </w:rPr>
                        <w:t xml:space="preserve">Dekker, Rudolf M., en Lotte C. van de Pol. 1989. </w:t>
                      </w:r>
                      <w:r>
                        <w:rPr>
                          <w:b/>
                          <w:bCs/>
                          <w:i/>
                          <w:iCs/>
                          <w:sz w:val="22"/>
                          <w:szCs w:val="22"/>
                        </w:rPr>
                        <w:t>Vrouwen in Mannenkleren: De geschiedenis van een tegendraadse traditie</w:t>
                      </w:r>
                      <w:r>
                        <w:rPr>
                          <w:b/>
                          <w:bCs/>
                          <w:sz w:val="22"/>
                          <w:szCs w:val="22"/>
                        </w:rPr>
                        <w:t xml:space="preserve">. Amsterdam: Wereldbibliotheek. </w:t>
                      </w:r>
                      <w:r>
                        <w:rPr>
                          <w:i/>
                          <w:iCs/>
                          <w:sz w:val="22"/>
                          <w:szCs w:val="22"/>
                        </w:rPr>
                        <w:t xml:space="preserve">Voor inzicht in </w:t>
                      </w:r>
                      <w:r>
                        <w:rPr>
                          <w:i/>
                          <w:iCs/>
                          <w:sz w:val="22"/>
                          <w:szCs w:val="22"/>
                        </w:rPr>
                        <w:t>gendernormoverschrijding</w:t>
                      </w:r>
                      <w:r>
                        <w:rPr>
                          <w:i/>
                          <w:iCs/>
                          <w:sz w:val="22"/>
                          <w:szCs w:val="22"/>
                        </w:rPr>
                        <w:t>, vrouwelijke zichtbaarheid in strafarchieven en de uitzonderlijke gevallen waarin vrouwen in juridische</w:t>
                      </w:r>
                      <w:r>
                        <w:rPr>
                          <w:i/>
                          <w:iCs/>
                          <w:sz w:val="22"/>
                          <w:szCs w:val="22"/>
                        </w:rPr>
                        <w:t xml:space="preserve"> (en soms sodomie) </w:t>
                      </w:r>
                      <w:r>
                        <w:rPr>
                          <w:i/>
                          <w:iCs/>
                          <w:sz w:val="22"/>
                          <w:szCs w:val="22"/>
                        </w:rPr>
                        <w:t>contexten verschijnen.</w:t>
                      </w:r>
                      <w:r>
                        <w:rPr>
                          <w:i/>
                          <w:iCs/>
                          <w:sz w:val="22"/>
                          <w:szCs w:val="22"/>
                        </w:rPr>
                      </w:r>
                    </w:p>
                    <w:p>
                      <w:pPr>
                        <w:ind w:left="-142"/>
                      </w:pPr>
                      <w:r>
                        <w:rPr>
                          <w:b/>
                          <w:bCs/>
                          <w:lang w:val="en-us"/>
                        </w:rPr>
                        <w:t xml:space="preserve">Ginzburg, Carlo. 1980. </w:t>
                      </w:r>
                      <w:r>
                        <w:rPr>
                          <w:b/>
                          <w:bCs/>
                          <w:i/>
                          <w:iCs/>
                          <w:lang w:val="en-us"/>
                        </w:rPr>
                        <w:t>The Cheese and the Worms: The Cosmos of a Sixteenth</w:t>
                        <w:noBreakHyphen/>
                        <w:t>Century Miller</w:t>
                      </w:r>
                      <w:r>
                        <w:rPr>
                          <w:b/>
                          <w:bCs/>
                          <w:lang w:val="en-us"/>
                        </w:rPr>
                        <w:t xml:space="preserve">. </w:t>
                      </w:r>
                      <w:r>
                        <w:rPr>
                          <w:b/>
                          <w:bCs/>
                        </w:rPr>
                        <w:t>Baltimore: Johns Hopkins University Press.</w:t>
                      </w:r>
                      <w:r>
                        <w:t xml:space="preserve"> </w:t>
                      </w:r>
                      <w:r>
                        <w:rPr>
                          <w:i/>
                          <w:iCs/>
                        </w:rPr>
                        <w:t>Een goed, en bekend, voorbeeld van triangulatie: inquisitiedossiers, boekencatalogi, lokale gebruiken en taalpraktijken worden gecombineerd om één persoon te reconstrueren.</w:t>
                      </w:r>
                      <w:r/>
                    </w:p>
                    <w:p>
                      <w:pPr>
                        <w:ind w:left="-142"/>
                        <w:rPr>
                          <w:i/>
                          <w:iCs/>
                        </w:rPr>
                      </w:pPr>
                      <w:r>
                        <w:rPr>
                          <w:b/>
                          <w:bCs/>
                        </w:rPr>
                        <w:t xml:space="preserve">Hofman, Elwin, en Gerrit Verhoeven. </w:t>
                      </w:r>
                      <w:r>
                        <w:rPr>
                          <w:b/>
                          <w:bCs/>
                          <w:lang w:val="en-us"/>
                        </w:rPr>
                        <w:t xml:space="preserve">2022. “Confess and You’ll Feel Better! </w:t>
                      </w:r>
                      <w:r>
                        <w:rPr>
                          <w:b/>
                          <w:bCs/>
                        </w:rPr>
                        <w:t xml:space="preserve">The Dialogics of Interrogations, 1650–1850.” </w:t>
                      </w:r>
                      <w:r>
                        <w:rPr>
                          <w:b/>
                          <w:bCs/>
                          <w:i/>
                          <w:iCs/>
                        </w:rPr>
                        <w:t xml:space="preserve">Crime, </w:t>
                      </w:r>
                      <w:r>
                        <w:rPr>
                          <w:b/>
                          <w:bCs/>
                          <w:i/>
                          <w:iCs/>
                        </w:rPr>
                        <w:t>History</w:t>
                      </w:r>
                      <w:r>
                        <w:rPr>
                          <w:b/>
                          <w:bCs/>
                          <w:i/>
                          <w:iCs/>
                        </w:rPr>
                        <w:t xml:space="preserve"> &amp; </w:t>
                      </w:r>
                      <w:r>
                        <w:rPr>
                          <w:b/>
                          <w:bCs/>
                          <w:i/>
                          <w:iCs/>
                        </w:rPr>
                        <w:t>Societies</w:t>
                      </w:r>
                      <w:r>
                        <w:rPr>
                          <w:b/>
                          <w:bCs/>
                        </w:rPr>
                        <w:t xml:space="preserve"> 26 (1): 5–23.</w:t>
                      </w:r>
                      <w:r>
                        <w:t xml:space="preserve"> </w:t>
                      </w:r>
                      <w:r>
                        <w:rPr>
                          <w:i/>
                          <w:iCs/>
                        </w:rPr>
                        <w:t>Voor de dialogische aard van verhoren en hoe bekentenissen worden geproduceerd, niet onthuld.</w:t>
                      </w:r>
                      <w:r>
                        <w:rPr>
                          <w:i/>
                          <w:iCs/>
                        </w:rPr>
                      </w:r>
                    </w:p>
                    <w:p>
                      <w:pPr>
                        <w:ind w:left="-142"/>
                        <w:rPr>
                          <w:b/>
                          <w:bCs/>
                          <w:sz w:val="22"/>
                          <w:szCs w:val="22"/>
                        </w:rPr>
                      </w:pPr>
                      <w:r>
                        <w:rPr>
                          <w:b/>
                          <w:bCs/>
                          <w:sz w:val="22"/>
                          <w:szCs w:val="22"/>
                          <w:lang w:val="en-us"/>
                        </w:rPr>
                        <w:t>Roelens, Jonas. 2015. “Visible Women</w:t>
                      </w:r>
                      <w:r>
                        <w:rPr>
                          <w:rFonts w:ascii="Arial" w:hAnsi="Arial" w:cs="Arial"/>
                          <w:b/>
                          <w:bCs/>
                          <w:sz w:val="22"/>
                          <w:szCs w:val="22"/>
                          <w:lang w:val="en-us"/>
                        </w:rPr>
                        <w:t> </w:t>
                      </w:r>
                      <w:r>
                        <w:rPr>
                          <w:b/>
                          <w:bCs/>
                          <w:sz w:val="22"/>
                          <w:szCs w:val="22"/>
                          <w:lang w:val="en-us"/>
                        </w:rPr>
                        <w:t>: Female Sodomy in the Late Medieval and Early Modern Southern Netherlands (1400-1550).</w:t>
                      </w:r>
                      <w:r>
                        <w:rPr>
                          <w:rFonts w:cs="Aptos"/>
                          <w:b/>
                          <w:bCs/>
                          <w:sz w:val="22"/>
                          <w:szCs w:val="22"/>
                          <w:lang w:val="en-us"/>
                        </w:rPr>
                        <w:t>” </w:t>
                      </w:r>
                      <w:r>
                        <w:rPr>
                          <w:rFonts w:cs="Aptos"/>
                          <w:b/>
                          <w:bCs/>
                          <w:i/>
                          <w:iCs/>
                          <w:sz w:val="22"/>
                          <w:szCs w:val="22"/>
                        </w:rPr>
                        <w:t xml:space="preserve">BMGN- The Low Countries Historical Review </w:t>
                      </w:r>
                      <w:r>
                        <w:rPr>
                          <w:b/>
                          <w:bCs/>
                          <w:sz w:val="22"/>
                          <w:szCs w:val="22"/>
                        </w:rPr>
                        <w:t xml:space="preserve">130 (3): 3–24. </w:t>
                      </w:r>
                      <w:r>
                        <w:rPr>
                          <w:i/>
                          <w:iCs/>
                          <w:sz w:val="22"/>
                          <w:szCs w:val="22"/>
                        </w:rPr>
                        <w:t>Voor de aan- en afwezigheid van vrouwen in vroegmoderne bronnen over sodomie.</w:t>
                      </w:r>
                      <w:r>
                        <w:rPr>
                          <w:b/>
                          <w:bCs/>
                          <w:sz w:val="22"/>
                          <w:szCs w:val="22"/>
                        </w:rPr>
                      </w:r>
                    </w:p>
                    <w:p>
                      <w:pPr>
                        <w:ind w:left="-142"/>
                        <w:rPr>
                          <w:i/>
                          <w:iCs/>
                        </w:rPr>
                      </w:pPr>
                      <w:r>
                        <w:rPr>
                          <w:b/>
                          <w:bCs/>
                          <w:lang w:val="en-us"/>
                        </w:rPr>
                        <w:t xml:space="preserve">Sharpe, Jim. 1991. “History from Below.” In </w:t>
                      </w:r>
                      <w:r>
                        <w:rPr>
                          <w:b/>
                          <w:bCs/>
                          <w:i/>
                          <w:iCs/>
                          <w:lang w:val="en-us"/>
                        </w:rPr>
                        <w:t>New Perspectives on Historical Writing</w:t>
                      </w:r>
                      <w:r>
                        <w:rPr>
                          <w:b/>
                          <w:bCs/>
                          <w:lang w:val="en-us"/>
                        </w:rPr>
                        <w:t xml:space="preserve">, edited by Peter Burke, 24–41. </w:t>
                      </w:r>
                      <w:r>
                        <w:rPr>
                          <w:b/>
                          <w:bCs/>
                        </w:rPr>
                        <w:t>Cambridge: Polity Press.</w:t>
                      </w:r>
                      <w:r>
                        <w:t xml:space="preserve"> </w:t>
                      </w:r>
                      <w:r>
                        <w:rPr>
                          <w:i/>
                          <w:iCs/>
                        </w:rPr>
                        <w:t>Voor het combineren van bronnen om groepen zichtbaar te maken die zelf weinig sporen nalaten.</w:t>
                      </w:r>
                      <w:r>
                        <w:rPr>
                          <w:i/>
                          <w:iCs/>
                        </w:rPr>
                      </w:r>
                    </w:p>
                  </w:txbxContent>
                </v:textbox>
              </v:rect>
            </w:pict>
          </mc:Fallback>
        </mc:AlternateContent>
      </w:r>
      <w:r/>
    </w:p>
    <w:p>
      <w:pPr>
        <w:pStyle w:val="para1"/>
      </w:pPr>
      <w:bookmarkStart w:id="20" w:name="_Toc232185157"/>
      <w:r/>
    </w:p>
    <w:p>
      <w:pPr>
        <w:pStyle w:val="para1"/>
      </w:pPr>
      <w:r>
        <w:t>6. Ethische en educatieve overwegingen</w:t>
      </w:r>
      <w:bookmarkEnd w:id="20"/>
      <w:r/>
    </w:p>
    <w:p>
      <w:r>
        <w:rPr>
          <w:i/>
          <w:iCs/>
        </w:rPr>
        <w:t>Als je met deze geschiedenis werkt, let dan op het volgende.</w:t>
      </w:r>
      <w:r/>
    </w:p>
    <w:p>
      <w:r>
        <w:t>Onderzoek naar sodomievervolgingen raakt aan geweld, stigma en schaamte. Bronnen tonen vaak vernedering, executies en beschuldigingen die diep ingrijpend waren voor betrokkenen. Presenteer dit materiaal daarom feitelijk en zonder sensatie, en wees voorzichtig met historische termen die vandaag kwetsend kunnen zijn. Benoem stigma, maar reproduceer het niet; maak duidelijk dat deze taal onderdeel was van vroegmoderne normativiteit, niet van hedendaagse categorieën.</w:t>
      </w:r>
    </w:p>
    <w:p>
      <w:r>
        <w:t xml:space="preserve">Daarnaast vraagt deze geschiedenis om zorgvuldige contextualisering. Een individuele casus zonder uitleg over juridische structuren, religieuze normen of sociale spanningen kan misleidend of stigmatiserend werken. Leg daarom altijd uit </w:t>
      </w:r>
      <w:r>
        <w:rPr>
          <w:i/>
          <w:iCs/>
        </w:rPr>
        <w:t>waarom</w:t>
      </w:r>
      <w:r>
        <w:t xml:space="preserve"> vervolging mogelijk was, welke instituties betrokken waren, en welke stemmen ontbreken in het archief. Transparantie over lacunes, wat niet werd geregistreerd, wie niet kon spreken, is essentieel om een eerlijk beeld te geven.</w:t>
      </w:r>
    </w:p>
    <w:p>
      <w:r>
        <w:t>Tot slot is het belangrijk om in onderwijs en erfgoedcontexten een veilige en inclusieve leeromgeving te creëren. Sommige leerlingen of bezoekers kunnen zich persoonlijk geraakt voelen door deze geschiedenis. Werk daarom met duidelijke leerdoelen, focus op structuren in plaats van op schokkende details, en stimuleer reflectie op machtsverhoudingen en historische verandering. Zo blijft de geschiedenis toegankelijk, verantwoord en betekenisvol, zonder haar complexiteit te verliezen.</w:t>
      </w:r>
    </w:p>
    <w:p>
      <w:r>
        <w:rPr>
          <w:noProof/>
        </w:rPr>
        <mc:AlternateContent>
          <mc:Choice Requires="wps">
            <w:drawing>
              <wp:anchor distT="45720" distB="45720" distL="114300" distR="114300" simplePos="0" relativeHeight="251658245" behindDoc="1" locked="0" layoutInCell="0" hidden="0" allowOverlap="1">
                <wp:simplePos x="0" y="0"/>
                <wp:positionH relativeFrom="column">
                  <wp:posOffset>-247015</wp:posOffset>
                </wp:positionH>
                <wp:positionV relativeFrom="page">
                  <wp:posOffset>6375400</wp:posOffset>
                </wp:positionV>
                <wp:extent cx="6416040" cy="3708400"/>
                <wp:effectExtent l="38100" t="38100" r="38100" b="38100"/>
                <wp:wrapTopAndBottom/>
                <wp:docPr id="5" name="Tekstvak 6"/>
                <wp:cNvGraphicFramePr/>
                <a:graphic xmlns:a="http://schemas.openxmlformats.org/drawingml/2006/main">
                  <a:graphicData uri="http://schemas.microsoft.com/office/word/2010/wordprocessingShape">
                    <wps:wsp>
                      <wps:cNvSpPr>
                        <a:extLst>
                          <a:ext uri="sm">
                            <sm:smNativeData xmlns:sm="sm" val="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sBAAAAIQAAAAAAAAAAAAAAAAAAAgAAAHv+//8AAAAAAAAAADgnAAB4JwAA0BYAACAAAAAEBAAAOCcAACgAAAAIAAAAAQAAAAEAAAAwAAAAFAAAAAAAAAAAAP//AAABAAAA//8AAAEA"/>
                          </a:ext>
                        </a:extLst>
                      </wps:cNvSpPr>
                      <wps:spPr>
                        <a:xfrm>
                          <a:off x="0" y="0"/>
                          <a:ext cx="6416040" cy="3708400"/>
                        </a:xfrm>
                        <a:prstGeom prst="rect">
                          <a:avLst/>
                        </a:prstGeom>
                        <a:solidFill>
                          <a:srgbClr val="C0CAB5"/>
                        </a:solidFill>
                        <a:ln w="38100">
                          <a:solidFill>
                            <a:srgbClr val="A4AE93"/>
                          </a:solidFill>
                        </a:ln>
                      </wps:spPr>
                      <wps:txbx>
                        <w:txbxContent>
                          <w:p>
                            <w:pPr>
                              <w:ind w:left="-142"/>
                              <w:rPr>
                                <w:b/>
                                <w:bCs/>
                                <w:sz w:val="28"/>
                                <w:szCs w:val="28"/>
                              </w:rPr>
                            </w:pPr>
                            <w:r>
                              <w:rPr>
                                <w:b/>
                                <w:bCs/>
                                <w:sz w:val="28"/>
                                <w:szCs w:val="28"/>
                              </w:rPr>
                              <w:t xml:space="preserve">Gebruikte literatuur </w:t>
                            </w:r>
                          </w:p>
                          <w:p>
                            <w:pPr>
                              <w:ind w:left="-142"/>
                              <w:rPr>
                                <w:b/>
                                <w:bCs/>
                                <w:sz w:val="22"/>
                                <w:szCs w:val="22"/>
                              </w:rPr>
                            </w:pPr>
                            <w:r>
                              <w:rPr>
                                <w:b/>
                                <w:bCs/>
                                <w:sz w:val="22"/>
                                <w:szCs w:val="22"/>
                              </w:rPr>
                              <w:t xml:space="preserve">Endacott, Jason, en Sarah Brooks. </w:t>
                            </w:r>
                            <w:r>
                              <w:rPr>
                                <w:b/>
                                <w:bCs/>
                                <w:sz w:val="22"/>
                                <w:szCs w:val="22"/>
                                <w:lang w:val="en-us"/>
                              </w:rPr>
                              <w:t xml:space="preserve">2013. “An Updated Theoretical and Practical Model for Promoting Historical Empathy.” </w:t>
                            </w:r>
                            <w:r>
                              <w:rPr>
                                <w:b/>
                                <w:bCs/>
                                <w:i/>
                                <w:iCs/>
                                <w:sz w:val="22"/>
                                <w:szCs w:val="22"/>
                              </w:rPr>
                              <w:t>Social Studies Research and Practice</w:t>
                            </w:r>
                            <w:r>
                              <w:rPr>
                                <w:b/>
                                <w:bCs/>
                                <w:sz w:val="22"/>
                                <w:szCs w:val="22"/>
                              </w:rPr>
                              <w:t xml:space="preserve"> 8 (1): 41–58. </w:t>
                            </w:r>
                            <w:r>
                              <w:rPr>
                                <w:i/>
                                <w:iCs/>
                                <w:sz w:val="22"/>
                                <w:szCs w:val="22"/>
                              </w:rPr>
                              <w:t>Voor een helder model van historische empathie dat expliciet waarschuwt voor psychologisering en anachronisme.</w:t>
                            </w:r>
                            <w:r>
                              <w:rPr>
                                <w:b/>
                                <w:bCs/>
                                <w:sz w:val="22"/>
                                <w:szCs w:val="22"/>
                              </w:rPr>
                            </w:r>
                          </w:p>
                          <w:p>
                            <w:pPr>
                              <w:ind w:left="-142"/>
                              <w:rPr>
                                <w:i/>
                                <w:iCs/>
                                <w:sz w:val="22"/>
                                <w:szCs w:val="22"/>
                              </w:rPr>
                            </w:pPr>
                            <w:r>
                              <w:rPr>
                                <w:b/>
                                <w:bCs/>
                                <w:sz w:val="22"/>
                                <w:szCs w:val="22"/>
                                <w:lang w:val="en-us"/>
                              </w:rPr>
                              <w:t xml:space="preserve">Zembylas, Michalinos. 2014. “Theorizing ‘Difficult Knowledge’ in Education.” </w:t>
                            </w:r>
                            <w:r>
                              <w:rPr>
                                <w:b/>
                                <w:bCs/>
                                <w:i/>
                                <w:iCs/>
                                <w:sz w:val="22"/>
                                <w:szCs w:val="22"/>
                              </w:rPr>
                              <w:t xml:space="preserve">Harvard </w:t>
                            </w:r>
                            <w:r>
                              <w:rPr>
                                <w:b/>
                                <w:bCs/>
                                <w:i/>
                                <w:iCs/>
                                <w:sz w:val="22"/>
                                <w:szCs w:val="22"/>
                              </w:rPr>
                              <w:t>Educational</w:t>
                            </w:r>
                            <w:r>
                              <w:rPr>
                                <w:b/>
                                <w:bCs/>
                                <w:i/>
                                <w:iCs/>
                                <w:sz w:val="22"/>
                                <w:szCs w:val="22"/>
                              </w:rPr>
                              <w:t xml:space="preserve"> Review</w:t>
                            </w:r>
                            <w:r>
                              <w:rPr>
                                <w:b/>
                                <w:bCs/>
                                <w:sz w:val="22"/>
                                <w:szCs w:val="22"/>
                              </w:rPr>
                              <w:t xml:space="preserve"> 84 (2): 184–202. </w:t>
                            </w:r>
                            <w:r>
                              <w:rPr>
                                <w:i/>
                                <w:iCs/>
                                <w:sz w:val="22"/>
                                <w:szCs w:val="22"/>
                              </w:rPr>
                              <w:t>Voor het omgaan met beladen, pijnlijke of gevoelige historische onderwerpen in onderwijs.</w:t>
                            </w:r>
                            <w:r>
                              <w:rPr>
                                <w:i/>
                                <w:iCs/>
                                <w:sz w:val="22"/>
                                <w:szCs w:val="22"/>
                              </w:rPr>
                            </w:r>
                          </w:p>
                          <w:p>
                            <w:pPr>
                              <w:ind w:left="-142"/>
                              <w:rPr>
                                <w:b/>
                                <w:bCs/>
                                <w:sz w:val="28"/>
                                <w:szCs w:val="28"/>
                              </w:rPr>
                            </w:pPr>
                            <w:r>
                              <w:rPr>
                                <w:b/>
                                <w:bCs/>
                                <w:sz w:val="28"/>
                                <w:szCs w:val="28"/>
                              </w:rPr>
                              <w:t>Aanbevolen literatuur voor verdieping</w:t>
                            </w:r>
                          </w:p>
                          <w:p>
                            <w:pPr>
                              <w:ind w:left="-142"/>
                              <w:rPr>
                                <w:b/>
                                <w:bCs/>
                                <w:sz w:val="22"/>
                                <w:szCs w:val="22"/>
                              </w:rPr>
                            </w:pPr>
                            <w:r>
                              <w:rPr>
                                <w:b/>
                                <w:bCs/>
                                <w:sz w:val="22"/>
                                <w:szCs w:val="22"/>
                                <w:lang w:val="en-us"/>
                              </w:rPr>
                              <w:t xml:space="preserve">Brown, Michelle. 2009. </w:t>
                            </w:r>
                            <w:r>
                              <w:rPr>
                                <w:b/>
                                <w:bCs/>
                                <w:i/>
                                <w:iCs/>
                                <w:sz w:val="22"/>
                                <w:szCs w:val="22"/>
                                <w:lang w:val="en-us"/>
                              </w:rPr>
                              <w:t>The Culture of Punishment: Prison, Society, and Spectacle</w:t>
                            </w:r>
                            <w:r>
                              <w:rPr>
                                <w:b/>
                                <w:bCs/>
                                <w:sz w:val="22"/>
                                <w:szCs w:val="22"/>
                                <w:lang w:val="en-us"/>
                              </w:rPr>
                              <w:t xml:space="preserve">. </w:t>
                            </w:r>
                            <w:r>
                              <w:rPr>
                                <w:b/>
                                <w:bCs/>
                                <w:sz w:val="22"/>
                                <w:szCs w:val="22"/>
                              </w:rPr>
                              <w:t xml:space="preserve">New York: NYU Press. </w:t>
                            </w:r>
                            <w:r>
                              <w:rPr>
                                <w:i/>
                                <w:iCs/>
                                <w:sz w:val="22"/>
                                <w:szCs w:val="22"/>
                              </w:rPr>
                              <w:t>Voor verantwoord omgaan met geweld en het vermijden van sensatie in het presenteren van strafgeschiedenis.</w:t>
                            </w:r>
                            <w:r>
                              <w:rPr>
                                <w:b/>
                                <w:bCs/>
                                <w:sz w:val="22"/>
                                <w:szCs w:val="22"/>
                              </w:rPr>
                            </w:r>
                          </w:p>
                          <w:p>
                            <w:pPr>
                              <w:ind w:left="-142"/>
                              <w:rPr>
                                <w:b/>
                                <w:bCs/>
                                <w:sz w:val="22"/>
                                <w:szCs w:val="22"/>
                              </w:rPr>
                            </w:pPr>
                            <w:r>
                              <w:rPr>
                                <w:b/>
                                <w:bCs/>
                                <w:sz w:val="22"/>
                                <w:szCs w:val="22"/>
                              </w:rPr>
                              <w:t xml:space="preserve">Simon, Roger I. 2005. </w:t>
                            </w:r>
                            <w:r>
                              <w:rPr>
                                <w:b/>
                                <w:bCs/>
                                <w:i/>
                                <w:iCs/>
                                <w:sz w:val="22"/>
                                <w:szCs w:val="22"/>
                                <w:lang w:val="en-us"/>
                              </w:rPr>
                              <w:t>The Touch of the Past: Remembrance, Learning, and Ethics</w:t>
                            </w:r>
                            <w:r>
                              <w:rPr>
                                <w:b/>
                                <w:bCs/>
                                <w:sz w:val="22"/>
                                <w:szCs w:val="22"/>
                                <w:lang w:val="en-us"/>
                              </w:rPr>
                              <w:t xml:space="preserve">. </w:t>
                            </w:r>
                            <w:r>
                              <w:rPr>
                                <w:b/>
                                <w:bCs/>
                                <w:sz w:val="22"/>
                                <w:szCs w:val="22"/>
                              </w:rPr>
                              <w:t xml:space="preserve">New York: Palgrave Macmillan. </w:t>
                            </w:r>
                            <w:r>
                              <w:rPr>
                                <w:i/>
                                <w:iCs/>
                                <w:sz w:val="22"/>
                                <w:szCs w:val="22"/>
                              </w:rPr>
                              <w:t>Voor ethische kaders rond herinnering, kwetsbaarheid en het creëren van veilige leeromgevingen.</w:t>
                            </w:r>
                            <w:r>
                              <w:rPr>
                                <w:b/>
                                <w:bCs/>
                                <w:sz w:val="22"/>
                                <w:szCs w:val="22"/>
                              </w:rPr>
                            </w:r>
                          </w:p>
                          <w:p>
                            <w:pPr>
                              <w:ind w:left="-142"/>
                            </w:p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6" o:spid="_x0000_s1030" style="position:absolute;margin-left:-19.45pt;margin-top:502.00pt;mso-position-vertical-relative:page;width:505.20pt;height:292.00pt;z-index:251658245;mso-wrap-distance-left:9.00pt;mso-wrap-distance-top:3.60pt;mso-wrap-distance-right:9.00pt;mso-wrap-distance-bottom:3.60pt;mso-wrap-style:square" strokeweight="3.00pt" strokecolor="#a4ae93" fillcolor="#c0cab5" v:ext="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sBAAAAIQAAAAAAAAAAAAAAAAAAAgAAAHv+//8AAAAAAAAAADgnAAB4JwAA0BYAACAAAAAEBAAAOCc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rPr>
                      </w:pPr>
                      <w:r>
                        <w:rPr>
                          <w:b/>
                          <w:bCs/>
                          <w:sz w:val="28"/>
                          <w:szCs w:val="28"/>
                        </w:rPr>
                        <w:t xml:space="preserve">Gebruikte literatuur </w:t>
                      </w:r>
                    </w:p>
                    <w:p>
                      <w:pPr>
                        <w:ind w:left="-142"/>
                        <w:rPr>
                          <w:b/>
                          <w:bCs/>
                          <w:sz w:val="22"/>
                          <w:szCs w:val="22"/>
                        </w:rPr>
                      </w:pPr>
                      <w:r>
                        <w:rPr>
                          <w:b/>
                          <w:bCs/>
                          <w:sz w:val="22"/>
                          <w:szCs w:val="22"/>
                        </w:rPr>
                        <w:t xml:space="preserve">Endacott, Jason, en Sarah Brooks. </w:t>
                      </w:r>
                      <w:r>
                        <w:rPr>
                          <w:b/>
                          <w:bCs/>
                          <w:sz w:val="22"/>
                          <w:szCs w:val="22"/>
                          <w:lang w:val="en-us"/>
                        </w:rPr>
                        <w:t xml:space="preserve">2013. “An Updated Theoretical and Practical Model for Promoting Historical Empathy.” </w:t>
                      </w:r>
                      <w:r>
                        <w:rPr>
                          <w:b/>
                          <w:bCs/>
                          <w:i/>
                          <w:iCs/>
                          <w:sz w:val="22"/>
                          <w:szCs w:val="22"/>
                        </w:rPr>
                        <w:t>Social Studies Research and Practice</w:t>
                      </w:r>
                      <w:r>
                        <w:rPr>
                          <w:b/>
                          <w:bCs/>
                          <w:sz w:val="22"/>
                          <w:szCs w:val="22"/>
                        </w:rPr>
                        <w:t xml:space="preserve"> 8 (1): 41–58. </w:t>
                      </w:r>
                      <w:r>
                        <w:rPr>
                          <w:i/>
                          <w:iCs/>
                          <w:sz w:val="22"/>
                          <w:szCs w:val="22"/>
                        </w:rPr>
                        <w:t>Voor een helder model van historische empathie dat expliciet waarschuwt voor psychologisering en anachronisme.</w:t>
                      </w:r>
                      <w:r>
                        <w:rPr>
                          <w:b/>
                          <w:bCs/>
                          <w:sz w:val="22"/>
                          <w:szCs w:val="22"/>
                        </w:rPr>
                      </w:r>
                    </w:p>
                    <w:p>
                      <w:pPr>
                        <w:ind w:left="-142"/>
                        <w:rPr>
                          <w:i/>
                          <w:iCs/>
                          <w:sz w:val="22"/>
                          <w:szCs w:val="22"/>
                        </w:rPr>
                      </w:pPr>
                      <w:r>
                        <w:rPr>
                          <w:b/>
                          <w:bCs/>
                          <w:sz w:val="22"/>
                          <w:szCs w:val="22"/>
                          <w:lang w:val="en-us"/>
                        </w:rPr>
                        <w:t xml:space="preserve">Zembylas, Michalinos. 2014. “Theorizing ‘Difficult Knowledge’ in Education.” </w:t>
                      </w:r>
                      <w:r>
                        <w:rPr>
                          <w:b/>
                          <w:bCs/>
                          <w:i/>
                          <w:iCs/>
                          <w:sz w:val="22"/>
                          <w:szCs w:val="22"/>
                        </w:rPr>
                        <w:t xml:space="preserve">Harvard </w:t>
                      </w:r>
                      <w:r>
                        <w:rPr>
                          <w:b/>
                          <w:bCs/>
                          <w:i/>
                          <w:iCs/>
                          <w:sz w:val="22"/>
                          <w:szCs w:val="22"/>
                        </w:rPr>
                        <w:t>Educational</w:t>
                      </w:r>
                      <w:r>
                        <w:rPr>
                          <w:b/>
                          <w:bCs/>
                          <w:i/>
                          <w:iCs/>
                          <w:sz w:val="22"/>
                          <w:szCs w:val="22"/>
                        </w:rPr>
                        <w:t xml:space="preserve"> Review</w:t>
                      </w:r>
                      <w:r>
                        <w:rPr>
                          <w:b/>
                          <w:bCs/>
                          <w:sz w:val="22"/>
                          <w:szCs w:val="22"/>
                        </w:rPr>
                        <w:t xml:space="preserve"> 84 (2): 184–202. </w:t>
                      </w:r>
                      <w:r>
                        <w:rPr>
                          <w:i/>
                          <w:iCs/>
                          <w:sz w:val="22"/>
                          <w:szCs w:val="22"/>
                        </w:rPr>
                        <w:t>Voor het omgaan met beladen, pijnlijke of gevoelige historische onderwerpen in onderwijs.</w:t>
                      </w:r>
                      <w:r>
                        <w:rPr>
                          <w:i/>
                          <w:iCs/>
                          <w:sz w:val="22"/>
                          <w:szCs w:val="22"/>
                        </w:rPr>
                      </w:r>
                    </w:p>
                    <w:p>
                      <w:pPr>
                        <w:ind w:left="-142"/>
                        <w:rPr>
                          <w:b/>
                          <w:bCs/>
                          <w:sz w:val="28"/>
                          <w:szCs w:val="28"/>
                        </w:rPr>
                      </w:pPr>
                      <w:r>
                        <w:rPr>
                          <w:b/>
                          <w:bCs/>
                          <w:sz w:val="28"/>
                          <w:szCs w:val="28"/>
                        </w:rPr>
                        <w:t>Aanbevolen literatuur voor verdieping</w:t>
                      </w:r>
                    </w:p>
                    <w:p>
                      <w:pPr>
                        <w:ind w:left="-142"/>
                        <w:rPr>
                          <w:b/>
                          <w:bCs/>
                          <w:sz w:val="22"/>
                          <w:szCs w:val="22"/>
                        </w:rPr>
                      </w:pPr>
                      <w:r>
                        <w:rPr>
                          <w:b/>
                          <w:bCs/>
                          <w:sz w:val="22"/>
                          <w:szCs w:val="22"/>
                          <w:lang w:val="en-us"/>
                        </w:rPr>
                        <w:t xml:space="preserve">Brown, Michelle. 2009. </w:t>
                      </w:r>
                      <w:r>
                        <w:rPr>
                          <w:b/>
                          <w:bCs/>
                          <w:i/>
                          <w:iCs/>
                          <w:sz w:val="22"/>
                          <w:szCs w:val="22"/>
                          <w:lang w:val="en-us"/>
                        </w:rPr>
                        <w:t>The Culture of Punishment: Prison, Society, and Spectacle</w:t>
                      </w:r>
                      <w:r>
                        <w:rPr>
                          <w:b/>
                          <w:bCs/>
                          <w:sz w:val="22"/>
                          <w:szCs w:val="22"/>
                          <w:lang w:val="en-us"/>
                        </w:rPr>
                        <w:t xml:space="preserve">. </w:t>
                      </w:r>
                      <w:r>
                        <w:rPr>
                          <w:b/>
                          <w:bCs/>
                          <w:sz w:val="22"/>
                          <w:szCs w:val="22"/>
                        </w:rPr>
                        <w:t xml:space="preserve">New York: NYU Press. </w:t>
                      </w:r>
                      <w:r>
                        <w:rPr>
                          <w:i/>
                          <w:iCs/>
                          <w:sz w:val="22"/>
                          <w:szCs w:val="22"/>
                        </w:rPr>
                        <w:t>Voor verantwoord omgaan met geweld en het vermijden van sensatie in het presenteren van strafgeschiedenis.</w:t>
                      </w:r>
                      <w:r>
                        <w:rPr>
                          <w:b/>
                          <w:bCs/>
                          <w:sz w:val="22"/>
                          <w:szCs w:val="22"/>
                        </w:rPr>
                      </w:r>
                    </w:p>
                    <w:p>
                      <w:pPr>
                        <w:ind w:left="-142"/>
                        <w:rPr>
                          <w:b/>
                          <w:bCs/>
                          <w:sz w:val="22"/>
                          <w:szCs w:val="22"/>
                        </w:rPr>
                      </w:pPr>
                      <w:r>
                        <w:rPr>
                          <w:b/>
                          <w:bCs/>
                          <w:sz w:val="22"/>
                          <w:szCs w:val="22"/>
                        </w:rPr>
                        <w:t xml:space="preserve">Simon, Roger I. 2005. </w:t>
                      </w:r>
                      <w:r>
                        <w:rPr>
                          <w:b/>
                          <w:bCs/>
                          <w:i/>
                          <w:iCs/>
                          <w:sz w:val="22"/>
                          <w:szCs w:val="22"/>
                          <w:lang w:val="en-us"/>
                        </w:rPr>
                        <w:t>The Touch of the Past: Remembrance, Learning, and Ethics</w:t>
                      </w:r>
                      <w:r>
                        <w:rPr>
                          <w:b/>
                          <w:bCs/>
                          <w:sz w:val="22"/>
                          <w:szCs w:val="22"/>
                          <w:lang w:val="en-us"/>
                        </w:rPr>
                        <w:t xml:space="preserve">. </w:t>
                      </w:r>
                      <w:r>
                        <w:rPr>
                          <w:b/>
                          <w:bCs/>
                          <w:sz w:val="22"/>
                          <w:szCs w:val="22"/>
                        </w:rPr>
                        <w:t xml:space="preserve">New York: Palgrave Macmillan. </w:t>
                      </w:r>
                      <w:r>
                        <w:rPr>
                          <w:i/>
                          <w:iCs/>
                          <w:sz w:val="22"/>
                          <w:szCs w:val="22"/>
                        </w:rPr>
                        <w:t>Voor ethische kaders rond herinnering, kwetsbaarheid en het creëren van veilige leeromgevingen.</w:t>
                      </w:r>
                      <w:r>
                        <w:rPr>
                          <w:b/>
                          <w:bCs/>
                          <w:sz w:val="22"/>
                          <w:szCs w:val="22"/>
                        </w:rPr>
                      </w:r>
                    </w:p>
                    <w:p>
                      <w:pPr>
                        <w:ind w:left="-142"/>
                      </w:pPr>
                      <w:r/>
                    </w:p>
                  </w:txbxContent>
                </v:textbox>
              </v:rect>
            </w:pict>
          </mc:Fallback>
        </mc:AlternateContent>
      </w:r>
      <w:r/>
    </w:p>
    <w:p>
      <w:pPr>
        <w:pStyle w:val="para1"/>
      </w:pPr>
      <w:bookmarkStart w:id="21" w:name="_Toc232185158"/>
      <w:r>
        <w:t>7. Casusvoorbeeld</w:t>
      </w:r>
      <w:bookmarkEnd w:id="21"/>
      <w:r/>
    </w:p>
    <w:p>
      <w:pPr>
        <w:rPr>
          <w:szCs w:val="24"/>
        </w:rPr>
      </w:pPr>
      <w:r>
        <w:rPr>
          <w:szCs w:val="24"/>
        </w:rPr>
        <w:t>De zaak - Gooswijn de Wilde (1449)</w:t>
      </w:r>
    </w:p>
    <w:p>
      <w:pPr>
        <w:rPr>
          <w:szCs w:val="24"/>
        </w:rPr>
      </w:pPr>
      <w:r>
        <w:rPr>
          <w:i/>
          <w:iCs/>
          <w:szCs w:val="24"/>
        </w:rPr>
        <w:t>Wat laat één bron ons zien, en wat juist niet?</w:t>
      </w:r>
      <w:r>
        <w:rPr>
          <w:szCs w:val="24"/>
        </w:rPr>
      </w:r>
    </w:p>
    <w:p>
      <w:pPr>
        <w:rPr>
          <w:szCs w:val="24"/>
        </w:rPr>
      </w:pPr>
      <w:r>
        <w:rPr>
          <w:szCs w:val="24"/>
        </w:rPr>
        <w:t xml:space="preserve">Een mogelijke bron voor vroegmoderne sodomievervolgingen is de </w:t>
      </w:r>
      <w:r>
        <w:rPr>
          <w:i/>
          <w:iCs/>
          <w:szCs w:val="24"/>
        </w:rPr>
        <w:t>Chronycke van Hollant, Zeelandt ende Vrieslandt</w:t>
      </w:r>
      <w:r>
        <w:rPr>
          <w:szCs w:val="24"/>
        </w:rPr>
        <w:t>, een laat</w:t>
        <w:noBreakHyphen/>
        <w:t>zestiende</w:t>
        <w:noBreakHyphen/>
        <w:t>eeuwse kroniek die gebeurtenissen uit de vijftiende eeuw retrospectief beschrijft. De executie van Gooswijn de Wilde, president van de Raad van Holland, vormt daarin een opvallend voorbeeld van hoe emoties, normativiteit en macht rondom sodomievervolgingen worden geconstrueerd in plaats van geregistreerd. De kroniek werd ruim een eeuw na de gebeurtenis geschreven en is daardoor geen verslag van de rechtsgang, maar een normatief narratief dat morele orde wil bevestigen (Chronycke 1595–1597, 325).</w:t>
      </w:r>
    </w:p>
    <w:p>
      <w:pPr>
        <w:rPr>
          <w:szCs w:val="24"/>
        </w:rPr>
      </w:pPr>
      <w:r>
        <w:rPr>
          <w:szCs w:val="24"/>
        </w:rPr>
        <w:t xml:space="preserve">In de beschrijving wordt De Wilde publiekelijk vernederd: hij wordt blootsvoets opgevoerd, geconfronteerd met zowel een brandstapel als een zwaard, en voor de keuze gesteld tussen onthoofding na bekentenis of levend verbranden bij zwijgen (Chronycke 1595–1597, 325). Deze scenografie roept emoties op, schaamte, angst, morele afkeer, zonder ze expliciet te benoemen. Welke emoties men daadwerkelijk ervoer is bijna niet te achterhalen. In dit soort bronnen zou een manier om emoties te reconstrueren zijn om wat Reddy een emotive noemt te signaleren: een uiting die emoties niet alleen beschrijft, maar probeert op te roepen en te sturen (Reddy 2001, 105–106). De enige mogelijke </w:t>
      </w:r>
      <w:r>
        <w:rPr>
          <w:i/>
          <w:iCs/>
          <w:szCs w:val="24"/>
        </w:rPr>
        <w:t>emotive</w:t>
      </w:r>
      <w:r>
        <w:rPr>
          <w:szCs w:val="24"/>
        </w:rPr>
        <w:t xml:space="preserve"> in deze casus is De Wilde’s uiteindelijke bekentenis, omdat een bekentenis in </w:t>
      </w:r>
      <w:r>
        <w:rPr>
          <w:szCs w:val="24"/>
        </w:rPr>
        <w:t>Reddy’s</w:t>
      </w:r>
      <w:r>
        <w:rPr>
          <w:szCs w:val="24"/>
        </w:rPr>
        <w:t xml:space="preserve"> theorie een taalhandeling is die zowel een emotie uitdrukt als probeert te reguleren. Maar omdat de kroniek zijn woorden niet citeert, blijft onduidelijk hoe deze bekentenis functioneerde als </w:t>
      </w:r>
      <w:r>
        <w:rPr>
          <w:szCs w:val="24"/>
        </w:rPr>
        <w:t>performatieve</w:t>
      </w:r>
      <w:r>
        <w:rPr>
          <w:szCs w:val="24"/>
        </w:rPr>
        <w:t xml:space="preserve"> emotie</w:t>
      </w:r>
      <w:r>
        <w:rPr>
          <w:szCs w:val="24"/>
        </w:rPr>
        <w:noBreakHyphen/>
        <w:t>uiting (</w:t>
      </w:r>
      <w:r>
        <w:rPr>
          <w:szCs w:val="24"/>
        </w:rPr>
        <w:t>Reddy</w:t>
      </w:r>
      <w:r>
        <w:rPr>
          <w:szCs w:val="24"/>
        </w:rPr>
        <w:t xml:space="preserve"> 2001, 105–106).</w:t>
      </w:r>
      <w:r>
        <w:rPr>
          <w:szCs w:val="24"/>
        </w:rPr>
      </w:r>
    </w:p>
    <w:p>
      <w:pPr>
        <w:rPr>
          <w:szCs w:val="24"/>
        </w:rPr>
      </w:pPr>
      <w:r>
        <w:rPr>
          <w:szCs w:val="24"/>
        </w:rPr>
        <w:t xml:space="preserve">De taal van de kroniek kwalificeert sodomie als een </w:t>
      </w:r>
      <w:r>
        <w:rPr>
          <w:i/>
          <w:iCs/>
          <w:szCs w:val="24"/>
        </w:rPr>
        <w:t>“onsprekelike sondë”</w:t>
      </w:r>
      <w:r>
        <w:rPr>
          <w:szCs w:val="24"/>
        </w:rPr>
        <w:t xml:space="preserve">, een retorische strategie die daarmee beter past binnen wat Rosenwein een emotional community noemt: een gedeeld normatief kader waarin bepaalde emoties passend en noodzakelijk zijn (Rosenwein 2006, 2–3). </w:t>
      </w:r>
    </w:p>
    <w:p>
      <w:pPr>
        <w:rPr>
          <w:szCs w:val="24"/>
        </w:rPr>
      </w:pPr>
      <w:r>
        <w:rPr>
          <w:szCs w:val="24"/>
        </w:rPr>
        <w:t>Opmerkelijk is dat de kroniekschrijver ook vermeldt dat “velen in Holland” De Wilde onschuldig achtten, ondanks zijn bekentenis (Chronycke 1595–1597, 325). Dit wijst op een spanning tussen het officiële emotionele regime (afschuw, afschrikking, ordeherstel) en publieke twijfel. De bron laat daarmee niet alleen zien hoe emoties werden geënsceneerd, maar ook hoe deze scripts niet altijd volledig overtuigend waren. Bovendien suggereren latere historici dat politieke rivaliteit, met name de vete tussen De Wilde en Bengaert Say, een belangrijke rol speelde in de beschuldiging (Nip 1983, 70–72). De emotionele retoriek van de kroniek kan dus een dekmantel zijn voor machtsconflicten.</w:t>
      </w:r>
    </w:p>
    <w:p>
      <w:pPr>
        <w:pStyle w:val="para3"/>
      </w:pPr>
      <w:bookmarkStart w:id="22" w:name="_Toc232185159"/>
      <w:r>
        <w:t>Wat kunnen we hieruit concluderen, en wat niet?</w:t>
      </w:r>
      <w:bookmarkEnd w:id="22"/>
      <w:r/>
    </w:p>
    <w:p>
      <w:pPr>
        <w:rPr>
          <w:szCs w:val="24"/>
        </w:rPr>
      </w:pPr>
      <w:r>
        <w:rPr>
          <w:szCs w:val="24"/>
        </w:rPr>
        <w:t xml:space="preserve">Deze casus toont hoe één bron rijk materiaal biedt voor het analyseren van </w:t>
      </w:r>
      <w:r>
        <w:rPr>
          <w:b/>
          <w:bCs/>
          <w:szCs w:val="24"/>
        </w:rPr>
        <w:t>emotionele constructie, normativiteit en machtsverhoudingen</w:t>
      </w:r>
      <w:r>
        <w:rPr>
          <w:szCs w:val="24"/>
        </w:rPr>
        <w:t>. Maar tegelijk blijft de kernvraag overeind:</w:t>
      </w:r>
    </w:p>
    <w:p>
      <w:pPr>
        <w:rPr>
          <w:szCs w:val="24"/>
        </w:rPr>
      </w:pPr>
      <w:r>
        <w:rPr>
          <w:b/>
          <w:bCs/>
          <w:szCs w:val="24"/>
        </w:rPr>
        <w:t>Weten we nu wat er werkelijk gebeurde?</w:t>
      </w:r>
      <w:r>
        <w:rPr>
          <w:szCs w:val="24"/>
        </w:rPr>
        <w:t xml:space="preserve"> </w:t>
      </w:r>
      <w:r>
        <w:rPr>
          <w:rFonts w:ascii="Wingdings" w:hAnsi="Wingdings"/>
          <w:szCs w:val="24"/>
        </w:rPr>
        <w:t></w:t>
      </w:r>
      <w:r>
        <w:rPr>
          <w:szCs w:val="24"/>
        </w:rPr>
        <w:t xml:space="preserve"> Nee. De bron is te laat, te normatief en te politiek gekleurd om feitelijke emoties of schuld vast te stellen.</w:t>
      </w:r>
    </w:p>
    <w:p>
      <w:pPr>
        <w:rPr>
          <w:szCs w:val="24"/>
        </w:rPr>
      </w:pPr>
      <w:r>
        <w:rPr>
          <w:b/>
          <w:bCs/>
          <w:szCs w:val="24"/>
        </w:rPr>
        <w:t>Wat kunnen we wél zeggen?</w:t>
      </w:r>
      <w:r>
        <w:rPr>
          <w:szCs w:val="24"/>
        </w:rPr>
        <w:t xml:space="preserve"> </w:t>
      </w:r>
      <w:r>
        <w:rPr>
          <w:rFonts w:ascii="Wingdings" w:hAnsi="Wingdings"/>
          <w:szCs w:val="24"/>
        </w:rPr>
        <w:t></w:t>
      </w:r>
      <w:r>
        <w:rPr>
          <w:szCs w:val="24"/>
        </w:rPr>
        <w:t xml:space="preserve"> Hoe de auteur vond dat lezers moesten voelen; welke emoties als passend golden; hoe straf werd gelegitimeerd; hoe politieke spanningen konden worden verhuld in morele taal.</w:t>
      </w:r>
    </w:p>
    <w:p>
      <w:pPr>
        <w:rPr>
          <w:szCs w:val="24"/>
        </w:rPr>
      </w:pPr>
      <w:r>
        <w:rPr>
          <w:noProof/>
        </w:rPr>
        <mc:AlternateContent>
          <mc:Choice Requires="wps">
            <w:drawing>
              <wp:anchor distT="45720" distB="45720" distL="114300" distR="114300" simplePos="0" relativeHeight="251658246" behindDoc="1" locked="0" layoutInCell="0" hidden="0" allowOverlap="1">
                <wp:simplePos x="0" y="0"/>
                <wp:positionH relativeFrom="column">
                  <wp:posOffset>-34925</wp:posOffset>
                </wp:positionH>
                <wp:positionV relativeFrom="page">
                  <wp:posOffset>5454015</wp:posOffset>
                </wp:positionV>
                <wp:extent cx="5834380" cy="3176905"/>
                <wp:effectExtent l="38100" t="38100" r="38100" b="38100"/>
                <wp:wrapTopAndBottom/>
                <wp:docPr id="6" name="Tekstvak 7"/>
                <wp:cNvGraphicFramePr/>
                <a:graphic xmlns:a="http://schemas.openxmlformats.org/drawingml/2006/main">
                  <a:graphicData uri="http://schemas.microsoft.com/office/word/2010/wordprocessingShape">
                    <wps:wsp>
                      <wps:cNvSpPr>
                        <a:extLst>
                          <a:ext uri="sm">
                            <sm:smNativeData xmlns:sm="sm" val="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cBAAAAIQAAAAAAAAAAAAAAAAAAAgAAAMn///8AAAAAAAAAAI0hAADkIwAAixMAACEAAABSBQAAjSEAACgAAAAIAAAAAQAAAAEAAAAwAAAAFAAAAAAAAAAAAP//AAABAAAA//8AAAEA"/>
                          </a:ext>
                        </a:extLst>
                      </wps:cNvSpPr>
                      <wps:spPr>
                        <a:xfrm>
                          <a:off x="0" y="0"/>
                          <a:ext cx="5834380" cy="3176905"/>
                        </a:xfrm>
                        <a:prstGeom prst="rect">
                          <a:avLst/>
                        </a:prstGeom>
                        <a:solidFill>
                          <a:srgbClr val="C0CAB5"/>
                        </a:solidFill>
                        <a:ln w="38100">
                          <a:solidFill>
                            <a:srgbClr val="A4AE93"/>
                          </a:solidFill>
                        </a:ln>
                      </wps:spPr>
                      <wps:txbx>
                        <w:txbxContent>
                          <w:p>
                            <w:pPr>
                              <w:ind w:left="-142"/>
                              <w:rPr>
                                <w:b/>
                                <w:bCs/>
                                <w:sz w:val="28"/>
                                <w:szCs w:val="28"/>
                              </w:rPr>
                            </w:pPr>
                            <w:r>
                              <w:rPr>
                                <w:b/>
                                <w:bCs/>
                                <w:sz w:val="28"/>
                                <w:szCs w:val="28"/>
                              </w:rPr>
                              <w:t>Primaire bron</w:t>
                            </w:r>
                          </w:p>
                          <w:p>
                            <w:pPr>
                              <w:ind w:left="-142"/>
                              <w:rPr>
                                <w:szCs w:val="24"/>
                              </w:rPr>
                            </w:pPr>
                            <w:r>
                              <w:rPr>
                                <w:szCs w:val="24"/>
                              </w:rPr>
                              <w:t xml:space="preserve">Aurelius, Cornelius. </w:t>
                            </w:r>
                            <w:r>
                              <w:rPr>
                                <w:i/>
                                <w:iCs/>
                                <w:szCs w:val="24"/>
                              </w:rPr>
                              <w:t>Die Cronycke van Hollant, Zeelandt ende Vrieslandt</w:t>
                            </w:r>
                            <w:r>
                              <w:rPr>
                                <w:szCs w:val="24"/>
                              </w:rPr>
                              <w:t>. Leiden, 1591.</w:t>
                            </w:r>
                          </w:p>
                          <w:p>
                            <w:pPr>
                              <w:ind w:left="-142"/>
                              <w:rPr>
                                <w:b/>
                                <w:bCs/>
                                <w:sz w:val="28"/>
                                <w:szCs w:val="28"/>
                              </w:rPr>
                            </w:pPr>
                            <w:r>
                              <w:rPr>
                                <w:b/>
                                <w:bCs/>
                                <w:sz w:val="28"/>
                                <w:szCs w:val="28"/>
                              </w:rPr>
                              <w:t>Secundaire literatuur</w:t>
                            </w:r>
                          </w:p>
                          <w:p>
                            <w:pPr>
                              <w:ind w:left="-142"/>
                              <w:rPr>
                                <w:szCs w:val="24"/>
                                <w:lang w:val="en-us"/>
                              </w:rPr>
                            </w:pPr>
                            <w:r>
                              <w:rPr>
                                <w:szCs w:val="24"/>
                              </w:rPr>
                              <w:t>Nip, R. I. A. 1983. “Bengaert Say, een 15de</w:t>
                              <w:noBreakHyphen/>
                              <w:t xml:space="preserve">eeuws ambtenaar.” </w:t>
                            </w:r>
                            <w:r>
                              <w:rPr>
                                <w:i/>
                                <w:iCs/>
                                <w:szCs w:val="24"/>
                                <w:lang w:val="en-us"/>
                              </w:rPr>
                              <w:t>Holland</w:t>
                            </w:r>
                            <w:r>
                              <w:rPr>
                                <w:szCs w:val="24"/>
                                <w:lang w:val="en-us"/>
                              </w:rPr>
                              <w:t xml:space="preserve"> 15 (2): 65–77.</w:t>
                            </w:r>
                            <w:r>
                              <w:rPr>
                                <w:szCs w:val="24"/>
                                <w:lang w:val="en-us"/>
                              </w:rPr>
                            </w:r>
                          </w:p>
                          <w:p>
                            <w:pPr>
                              <w:ind w:left="-142"/>
                              <w:rPr>
                                <w:szCs w:val="24"/>
                                <w:lang w:val="en-us"/>
                              </w:rPr>
                            </w:pPr>
                            <w:r>
                              <w:rPr>
                                <w:szCs w:val="24"/>
                                <w:lang w:val="en-us"/>
                              </w:rPr>
                              <w:t xml:space="preserve">Reddy, William M. 2001. </w:t>
                            </w:r>
                            <w:r>
                              <w:rPr>
                                <w:i/>
                                <w:iCs/>
                                <w:szCs w:val="24"/>
                                <w:lang w:val="en-us"/>
                              </w:rPr>
                              <w:t>The Navigation of Feeling: A Framework for the History of Emotions</w:t>
                            </w:r>
                            <w:r>
                              <w:rPr>
                                <w:szCs w:val="24"/>
                                <w:lang w:val="en-us"/>
                              </w:rPr>
                              <w:t>. Cambridge: Cambridge University Press.</w:t>
                            </w:r>
                          </w:p>
                          <w:p>
                            <w:pPr>
                              <w:ind w:left="-142"/>
                              <w:rPr>
                                <w:szCs w:val="24"/>
                              </w:rPr>
                            </w:pPr>
                            <w:r>
                              <w:rPr>
                                <w:szCs w:val="24"/>
                                <w:lang w:val="en-us"/>
                              </w:rPr>
                              <w:t xml:space="preserve">Rosenwein, Barbara H. 2006. </w:t>
                            </w:r>
                            <w:r>
                              <w:rPr>
                                <w:i/>
                                <w:iCs/>
                                <w:szCs w:val="24"/>
                                <w:lang w:val="en-us"/>
                              </w:rPr>
                              <w:t>Emotional Communities in the Early Middle Ages</w:t>
                            </w:r>
                            <w:r>
                              <w:rPr>
                                <w:szCs w:val="24"/>
                                <w:lang w:val="en-us"/>
                              </w:rPr>
                              <w:t xml:space="preserve">. </w:t>
                            </w:r>
                            <w:r>
                              <w:rPr>
                                <w:szCs w:val="24"/>
                              </w:rPr>
                              <w:t>Ithaca, NY: Cornell University Press.</w:t>
                            </w:r>
                          </w:p>
                          <w:p>
                            <w:pPr>
                              <w:ind w:left="-142"/>
                              <w:rPr>
                                <w:szCs w:val="24"/>
                              </w:rPr>
                            </w:pPr>
                            <w:r>
                              <w:rPr>
                                <w:szCs w:val="24"/>
                              </w:rPr>
                              <w:t xml:space="preserve">Van der Meer, Theo. 1995. </w:t>
                            </w:r>
                            <w:r>
                              <w:rPr>
                                <w:i/>
                                <w:iCs/>
                                <w:szCs w:val="24"/>
                              </w:rPr>
                              <w:t>Sodoms zaad in Nederland: Het ontstaan van homoseksualiteit in de vroegmoderne tijd</w:t>
                            </w:r>
                            <w:r>
                              <w:rPr>
                                <w:szCs w:val="24"/>
                              </w:rPr>
                              <w:t>. Nijmegen: SUN.</w:t>
                            </w:r>
                          </w:p>
                          <w:p>
                            <w:pPr>
                              <w:ind w:left="-142"/>
                            </w:pPr>
                            <w:r/>
                          </w:p>
                        </w:txbxContent>
                      </wps:txbx>
                      <wps:bodyPr spcFirstLastPara="1" vertOverflow="clip" horzOverflow="clip" lIns="215900" tIns="71755" rIns="179705" bIns="45720" anchor="ctr" upright="1">
                        <a:prstTxWarp prst="textNoShape">
                          <a:avLst/>
                        </a:prstTxWarp>
                        <a:noAutofit/>
                      </wps:bodyPr>
                    </wps:wsp>
                  </a:graphicData>
                </a:graphic>
              </wp:anchor>
            </w:drawing>
          </mc:Choice>
          <mc:Fallback>
            <w:pict>
              <v:rect id="Tekstvak 7" o:spid="_x0000_s1031" style="position:absolute;margin-left:-2.75pt;margin-top:429.45pt;mso-position-vertical-relative:page;width:459.40pt;height:250.15pt;z-index:251658246;mso-wrap-distance-left:9.00pt;mso-wrap-distance-top:3.60pt;mso-wrap-distance-right:9.00pt;mso-wrap-distance-bottom:3.60pt;mso-wrap-style:square" strokeweight="3.00pt" strokecolor="#a4ae93" fillcolor="#c0cab5" v:ext="SMDATA_15_swU0ahMAAAAlAAAAZAAAAA0AAAAAVAEAAHEAAAAbAQAASAAAAAAAAAABAAAAAAAAAAEAAABQAAAAAAAAAAAA4D8AAAAAAADgPwAAAAAAAOA/AAAAAAAA4D8AAAAAAADgPwAAAAAAAOA/AAAAAAAA4D8AAAAAAADgPwAAAAAAAOA/AAAAAAAA4D8CAAAAjAAAAAEAAAAAAAAAwMq1AAAAAAAAAAAAAAAAAAAAAAAAAAAAAAAAAAAAAAAAAAAAZAAAAAEAAABAAAAAAAAAAAAAAAAAAAAAAAAAAAAAAAAAAAAAAAAAAAAAAAAAAAAAAAAAAAAAAAAAAAAAAAAAAAAAAAAAAAAAAAAAAAAAAAAAAAAAAAAAAAAAAAAAAAAAFAAAADwAAAABAAAAAAAAAKSukw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cBAAAAIQAAAAAAAAAAAAAAAAAAAgAAAMn///8AAAAAAAAAAI0hAADkIwAAixMAACEAAABSBQAAjSEAACgAAAAIAAAAAQAAAAEAAAAwAAAAFAAAAAAAAAAAAP//AAABAAAA//8AAAEA" o:insetmode="custom">
                <v:fill color2="#000000" type="solid" angle="90"/>
                <w10:wrap type="topAndBottom" anchorx="text" anchory="page"/>
                <v:textbox style="v-text-anchor:middle" inset="17.0pt,5.7pt,14.2pt,3.6pt">
                  <w:txbxContent>
                    <w:p>
                      <w:pPr>
                        <w:ind w:left="-142"/>
                        <w:rPr>
                          <w:b/>
                          <w:bCs/>
                          <w:sz w:val="28"/>
                          <w:szCs w:val="28"/>
                        </w:rPr>
                      </w:pPr>
                      <w:r>
                        <w:rPr>
                          <w:b/>
                          <w:bCs/>
                          <w:sz w:val="28"/>
                          <w:szCs w:val="28"/>
                        </w:rPr>
                        <w:t>Primaire bron</w:t>
                      </w:r>
                    </w:p>
                    <w:p>
                      <w:pPr>
                        <w:ind w:left="-142"/>
                        <w:rPr>
                          <w:szCs w:val="24"/>
                        </w:rPr>
                      </w:pPr>
                      <w:r>
                        <w:rPr>
                          <w:szCs w:val="24"/>
                        </w:rPr>
                        <w:t xml:space="preserve">Aurelius, Cornelius. </w:t>
                      </w:r>
                      <w:r>
                        <w:rPr>
                          <w:i/>
                          <w:iCs/>
                          <w:szCs w:val="24"/>
                        </w:rPr>
                        <w:t>Die Cronycke van Hollant, Zeelandt ende Vrieslandt</w:t>
                      </w:r>
                      <w:r>
                        <w:rPr>
                          <w:szCs w:val="24"/>
                        </w:rPr>
                        <w:t>. Leiden, 1591.</w:t>
                      </w:r>
                    </w:p>
                    <w:p>
                      <w:pPr>
                        <w:ind w:left="-142"/>
                        <w:rPr>
                          <w:b/>
                          <w:bCs/>
                          <w:sz w:val="28"/>
                          <w:szCs w:val="28"/>
                        </w:rPr>
                      </w:pPr>
                      <w:r>
                        <w:rPr>
                          <w:b/>
                          <w:bCs/>
                          <w:sz w:val="28"/>
                          <w:szCs w:val="28"/>
                        </w:rPr>
                        <w:t>Secundaire literatuur</w:t>
                      </w:r>
                    </w:p>
                    <w:p>
                      <w:pPr>
                        <w:ind w:left="-142"/>
                        <w:rPr>
                          <w:szCs w:val="24"/>
                          <w:lang w:val="en-us"/>
                        </w:rPr>
                      </w:pPr>
                      <w:r>
                        <w:rPr>
                          <w:szCs w:val="24"/>
                        </w:rPr>
                        <w:t>Nip, R. I. A. 1983. “Bengaert Say, een 15de</w:t>
                        <w:noBreakHyphen/>
                        <w:t xml:space="preserve">eeuws ambtenaar.” </w:t>
                      </w:r>
                      <w:r>
                        <w:rPr>
                          <w:i/>
                          <w:iCs/>
                          <w:szCs w:val="24"/>
                          <w:lang w:val="en-us"/>
                        </w:rPr>
                        <w:t>Holland</w:t>
                      </w:r>
                      <w:r>
                        <w:rPr>
                          <w:szCs w:val="24"/>
                          <w:lang w:val="en-us"/>
                        </w:rPr>
                        <w:t xml:space="preserve"> 15 (2): 65–77.</w:t>
                      </w:r>
                      <w:r>
                        <w:rPr>
                          <w:szCs w:val="24"/>
                          <w:lang w:val="en-us"/>
                        </w:rPr>
                      </w:r>
                    </w:p>
                    <w:p>
                      <w:pPr>
                        <w:ind w:left="-142"/>
                        <w:rPr>
                          <w:szCs w:val="24"/>
                          <w:lang w:val="en-us"/>
                        </w:rPr>
                      </w:pPr>
                      <w:r>
                        <w:rPr>
                          <w:szCs w:val="24"/>
                          <w:lang w:val="en-us"/>
                        </w:rPr>
                        <w:t xml:space="preserve">Reddy, William M. 2001. </w:t>
                      </w:r>
                      <w:r>
                        <w:rPr>
                          <w:i/>
                          <w:iCs/>
                          <w:szCs w:val="24"/>
                          <w:lang w:val="en-us"/>
                        </w:rPr>
                        <w:t>The Navigation of Feeling: A Framework for the History of Emotions</w:t>
                      </w:r>
                      <w:r>
                        <w:rPr>
                          <w:szCs w:val="24"/>
                          <w:lang w:val="en-us"/>
                        </w:rPr>
                        <w:t>. Cambridge: Cambridge University Press.</w:t>
                      </w:r>
                    </w:p>
                    <w:p>
                      <w:pPr>
                        <w:ind w:left="-142"/>
                        <w:rPr>
                          <w:szCs w:val="24"/>
                        </w:rPr>
                      </w:pPr>
                      <w:r>
                        <w:rPr>
                          <w:szCs w:val="24"/>
                          <w:lang w:val="en-us"/>
                        </w:rPr>
                        <w:t xml:space="preserve">Rosenwein, Barbara H. 2006. </w:t>
                      </w:r>
                      <w:r>
                        <w:rPr>
                          <w:i/>
                          <w:iCs/>
                          <w:szCs w:val="24"/>
                          <w:lang w:val="en-us"/>
                        </w:rPr>
                        <w:t>Emotional Communities in the Early Middle Ages</w:t>
                      </w:r>
                      <w:r>
                        <w:rPr>
                          <w:szCs w:val="24"/>
                          <w:lang w:val="en-us"/>
                        </w:rPr>
                        <w:t xml:space="preserve">. </w:t>
                      </w:r>
                      <w:r>
                        <w:rPr>
                          <w:szCs w:val="24"/>
                        </w:rPr>
                        <w:t>Ithaca, NY: Cornell University Press.</w:t>
                      </w:r>
                    </w:p>
                    <w:p>
                      <w:pPr>
                        <w:ind w:left="-142"/>
                        <w:rPr>
                          <w:szCs w:val="24"/>
                        </w:rPr>
                      </w:pPr>
                      <w:r>
                        <w:rPr>
                          <w:szCs w:val="24"/>
                        </w:rPr>
                        <w:t xml:space="preserve">Van der Meer, Theo. 1995. </w:t>
                      </w:r>
                      <w:r>
                        <w:rPr>
                          <w:i/>
                          <w:iCs/>
                          <w:szCs w:val="24"/>
                        </w:rPr>
                        <w:t>Sodoms zaad in Nederland: Het ontstaan van homoseksualiteit in de vroegmoderne tijd</w:t>
                      </w:r>
                      <w:r>
                        <w:rPr>
                          <w:szCs w:val="24"/>
                        </w:rPr>
                        <w:t>. Nijmegen: SUN.</w:t>
                      </w:r>
                    </w:p>
                    <w:p>
                      <w:pPr>
                        <w:ind w:left="-142"/>
                      </w:pPr>
                      <w:r/>
                    </w:p>
                  </w:txbxContent>
                </v:textbox>
              </v:rect>
            </w:pict>
          </mc:Fallback>
        </mc:AlternateContent>
      </w:r>
      <w:r>
        <w:rPr>
          <w:b/>
          <w:bCs/>
          <w:szCs w:val="24"/>
        </w:rPr>
        <w:t>Wat kunnen we níet zeggen?</w:t>
      </w:r>
      <w:r>
        <w:rPr>
          <w:szCs w:val="24"/>
        </w:rPr>
        <w:t xml:space="preserve"> </w:t>
      </w:r>
      <w:r>
        <w:rPr>
          <w:rFonts w:ascii="Wingdings" w:hAnsi="Wingdings"/>
          <w:szCs w:val="24"/>
        </w:rPr>
        <w:t></w:t>
      </w:r>
      <w:r>
        <w:rPr>
          <w:szCs w:val="24"/>
        </w:rPr>
        <w:t xml:space="preserve"> Wat De Wilde voelde, of hij schuldig was, hoe het proces precies verliep, of de bekentenis vrijwillig was.</w:t>
      </w:r>
    </w:p>
    <w:p>
      <w:pPr>
        <w:rPr>
          <w:rFonts w:ascii="Segoe UI Emoji" w:hAnsi="Segoe UI Emoji" w:cs="Segoe UI Emoji"/>
          <w:b/>
          <w:bCs/>
          <w:szCs w:val="24"/>
        </w:rPr>
      </w:pPr>
      <w:r>
        <w:rPr>
          <w:szCs w:val="24"/>
        </w:rPr>
        <w:t>Het casusvoorbeeld laat daarmee zien dat bronnen niet alleen informatie geven, maar ook emotionele en morele kaders produceren, precies het soort normatieve filtering dat centraal staat in deze onderzoeksgids. Het onderstreept dat historisch onderzoek naar sodomievervolgingen altijd moet balanceren tussen wat zichtbaar is in de overgeleverde teksten en wat structureel verborgen blijft door genre, machtsverhoudingen en archiefvorming.</w:t>
      </w:r>
      <w:r>
        <w:rPr>
          <w:rFonts w:ascii="Segoe UI Emoji" w:hAnsi="Segoe UI Emoji" w:cs="Segoe UI Emoji"/>
          <w:b/>
          <w:bCs/>
          <w:szCs w:val="24"/>
        </w:rPr>
      </w:r>
    </w:p>
    <w:p>
      <w:pPr>
        <w:rPr>
          <w:rFonts w:ascii="Segoe UI Emoji" w:hAnsi="Segoe UI Emoji" w:cs="Segoe UI Emoji"/>
          <w:b/>
          <w:bCs/>
          <w:szCs w:val="24"/>
        </w:rPr>
      </w:pPr>
      <w:r>
        <w:rPr>
          <w:rFonts w:ascii="Segoe UI Emoji" w:hAnsi="Segoe UI Emoji" w:cs="Segoe UI Emoji"/>
          <w:b/>
          <w:bCs/>
          <w:szCs w:val="24"/>
        </w:rPr>
      </w:r>
    </w:p>
    <w:p>
      <w:pPr>
        <w:rPr>
          <w:szCs w:val="24"/>
        </w:rPr>
      </w:pPr>
      <w:r>
        <w:rPr>
          <w:szCs w:val="24"/>
        </w:rPr>
      </w:r>
    </w:p>
    <w:p>
      <w:r/>
    </w:p>
    <w:p>
      <w:r/>
    </w:p>
    <w:p>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417" w:footer="70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Aptos">
    <w:panose1 w:val="020B0604020202020204"/>
    <w:charset w:val="00"/>
    <w:family w:val="swiss"/>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 w:name="Cambria Math">
    <w:panose1 w:val="02040503050406030204"/>
    <w:charset w:val="00"/>
    <w:family w:val="roman"/>
    <w:pitch w:val="default"/>
  </w:font>
  <w:font w:name="Segoe UI Emoji">
    <w:panose1 w:val="020B0502040204020203"/>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2"/>
      <w:spacing/>
      <w:jc w:val="right"/>
    </w:pPr>
    <w:r>
      <w:fldChar w:fldCharType="begin"/>
      <w:instrText xml:space="preserve"> PAGE </w:instrText>
      <w:fldChar w:fldCharType="separate"/>
      <w:t>33</w:t>
      <w:fldChar w:fldCharType="end"/>
    </w:r>
  </w:p>
  <w:p>
    <w:pPr>
      <w:pStyle w:val="para22"/>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11">
    <w:p>
      <w:pPr>
        <w:pStyle w:val="para20"/>
      </w:pPr>
      <w:r>
        <w:rPr>
          <w:rStyle w:val="char25"/>
        </w:rPr>
      </w:r>
      <w:r>
        <w:rPr>
          <w:rStyle w:val="char25"/>
        </w:rPr>
        <w:footnoteRef/>
      </w:r>
      <w:r>
        <w:t xml:space="preserve"> </w:t>
      </w:r>
      <w:r>
        <w:rPr>
          <w:sz w:val="20"/>
          <w:szCs w:val="16"/>
        </w:rPr>
        <w:t xml:space="preserve">Het verhaal van Sodom en Gomorra staat in </w:t>
      </w:r>
      <w:r>
        <w:rPr>
          <w:i/>
          <w:iCs/>
          <w:sz w:val="20"/>
          <w:szCs w:val="16"/>
        </w:rPr>
        <w:t>Genesis 18–19</w:t>
      </w:r>
      <w:r>
        <w:rPr>
          <w:sz w:val="20"/>
          <w:szCs w:val="16"/>
        </w:rPr>
        <w:t>. In deze passages kondigt God aan dat Hij de steden zal onderzoeken vanwege “een grote roep om onrecht”. Twee engelen bezoeken Sodom en worden door Lot ontvangen. De mannen van de stad eisen vervolgens dat de bezoekers aan hen worden uitgeleverd, wat in de tekst wordt gepresenteerd als een ernstige schending van gastvrijheid en recht. De steden worden uiteindelijk vernietigd door vuur en zwavel. In de vroegmoderne tijd werd dit verhaal vooral gelezen als een waarschuwing tegen normafwijkend gedrag en maatschappelijke ontwrichting, niet als een verwijzing naar een moderne seksuele identiteit.</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Genummerde lijst 1"/>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
    <w:multiLevelType w:val="hybridMultilevel"/>
    <w:name w:val="Genummerde lijst 2"/>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Genummerde lijst 3"/>
    <w:lvl w:ilvl="0">
      <w:numFmt w:val="bullet"/>
      <w:suff w:val="tab"/>
      <w:lvlText w:val="-"/>
      <w:lvlJc w:val="left"/>
      <w:pPr>
        <w:ind w:left="360" w:hanging="0"/>
      </w:pPr>
      <w:rPr>
        <w:rFonts w:ascii="Aptos" w:hAnsi="Aptos"/>
      </w:rPr>
    </w:lvl>
    <w:lvl w:ilvl="1">
      <w:numFmt w:val="bullet"/>
      <w:suff w:val="tab"/>
      <w:lvlText w:val="-"/>
      <w:lvlJc w:val="left"/>
      <w:pPr>
        <w:ind w:left="1080" w:hanging="0"/>
      </w:pPr>
      <w:rPr>
        <w:rFonts w:ascii="Aptos" w:hAnsi="Aptos"/>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Genummerde lijst 4"/>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5">
    <w:multiLevelType w:val="hybridMultilevel"/>
    <w:name w:val="Genummerde lijst 5"/>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6">
    <w:multiLevelType w:val="hybridMultilevel"/>
    <w:name w:val="Genummerde lijst 6"/>
    <w:lvl w:ilvl="0">
      <w:numFmt w:val="bullet"/>
      <w:suff w:val="tab"/>
      <w:lvlText w:val="-"/>
      <w:lvlJc w:val="left"/>
      <w:pPr>
        <w:ind w:left="360" w:hanging="0"/>
      </w:pPr>
      <w:rPr>
        <w:rFonts w:ascii="Aptos" w:hAnsi="Aptos"/>
        <w:sz w:val="20"/>
      </w:rPr>
    </w:lvl>
    <w:lvl w:ilvl="1">
      <w:start w:val="1"/>
      <w:numFmt w:val="decimal"/>
      <w:suff w:val="tab"/>
      <w:lvlText w:val="%2."/>
      <w:lvlJc w:val="left"/>
      <w:pPr>
        <w:ind w:left="1080" w:hanging="0"/>
      </w:p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7">
    <w:multiLevelType w:val="hybridMultilevel"/>
    <w:name w:val="Genummerde lijst 7"/>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8">
    <w:multiLevelType w:val="hybridMultilevel"/>
    <w:name w:val="Genummerde lijst 8"/>
    <w:lvl w:ilvl="0">
      <w:numFmt w:val="bullet"/>
      <w:suff w:val="tab"/>
      <w:lvlText w:val="-"/>
      <w:lvlJc w:val="left"/>
      <w:pPr>
        <w:ind w:left="360" w:hanging="0"/>
      </w:pPr>
      <w:rPr>
        <w:rFonts w:ascii="Aptos" w:hAnsi="Aptos"/>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9">
    <w:multiLevelType w:val="hybridMultilevel"/>
    <w:name w:val="Genummerde lijst 9"/>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0">
    <w:multiLevelType w:val="hybridMultilevel"/>
    <w:name w:val="Genummerde lijst 10"/>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1">
    <w:multiLevelType w:val="hybridMultilevel"/>
    <w:name w:val="Genummerde lijst 1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2">
    <w:multiLevelType w:val="hybridMultilevel"/>
    <w:name w:val="Genummerde lijst 12"/>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3">
    <w:multiLevelType w:val="hybridMultilevel"/>
    <w:name w:val="Genummerde lijst 13"/>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4">
    <w:multiLevelType w:val="hybridMultilevel"/>
    <w:name w:val="Genummerde lijst 14"/>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5">
    <w:multiLevelType w:val="hybridMultilevel"/>
    <w:name w:val="Genummerde lijst 15"/>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6">
    <w:multiLevelType w:val="hybridMultilevel"/>
    <w:name w:val="Genummerde lijst 16"/>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7">
    <w:multiLevelType w:val="hybridMultilevel"/>
    <w:name w:val="Genummerde lijst 17"/>
    <w:lvl w:ilvl="0">
      <w:numFmt w:val="bullet"/>
      <w:suff w:val="tab"/>
      <w:lvlText w:val="-"/>
      <w:lvlJc w:val="left"/>
      <w:pPr>
        <w:ind w:left="360" w:hanging="0"/>
      </w:pPr>
      <w:rPr>
        <w:rFonts w:ascii="Aptos" w:hAnsi="Apto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8">
    <w:multiLevelType w:val="hybridMultilevel"/>
    <w:name w:val="Genummerde lijst 18"/>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19">
    <w:multiLevelType w:val="hybridMultilevel"/>
    <w:name w:val="Genummerde lijst 19"/>
    <w:lvl w:ilvl="0">
      <w:numFmt w:val="bullet"/>
      <w:suff w:val="tab"/>
      <w:lvlText w:val="-"/>
      <w:lvlJc w:val="left"/>
      <w:pPr>
        <w:ind w:left="360" w:hanging="0"/>
      </w:pPr>
      <w:rPr>
        <w:rFonts w:ascii="Aptos" w:hAnsi="Aptos" w:eastAsia="Calibri" w:cs="Calibri"/>
        <w:b/>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0">
    <w:multiLevelType w:val="hybridMultilevel"/>
    <w:name w:val="Genummerde lijst 20"/>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1">
    <w:multiLevelType w:val="hybridMultilevel"/>
    <w:name w:val="Genummerde lijst 21"/>
    <w:lvl w:ilvl="0">
      <w:numFmt w:val="bullet"/>
      <w:suff w:val="tab"/>
      <w:lvlText w:val="-"/>
      <w:lvlJc w:val="left"/>
      <w:pPr>
        <w:ind w:left="720" w:hanging="0"/>
      </w:pPr>
      <w:rPr>
        <w:rFonts w:ascii="Aptos" w:hAnsi="Aptos"/>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2">
    <w:multiLevelType w:val="hybridMultilevel"/>
    <w:name w:val="Genummerde lijst 22"/>
    <w:lvl w:ilvl="0">
      <w:numFmt w:val="bullet"/>
      <w:suff w:val="tab"/>
      <w:lvlText w:val="-"/>
      <w:lvlJc w:val="left"/>
      <w:pPr>
        <w:ind w:left="360" w:hanging="0"/>
      </w:pPr>
      <w:rPr>
        <w:rFonts w:ascii="Aptos" w:hAnsi="Apto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3">
    <w:multiLevelType w:val="hybridMultilevel"/>
    <w:name w:val="Genummerde lijst 23"/>
    <w:lvl w:ilvl="0">
      <w:numFmt w:val="bullet"/>
      <w:suff w:val="tab"/>
      <w:lvlText w:val="-"/>
      <w:lvlJc w:val="left"/>
      <w:pPr>
        <w:ind w:left="360" w:hanging="0"/>
      </w:pPr>
      <w:rPr>
        <w:rFonts w:ascii="Aptos" w:hAnsi="Aptos" w:eastAsia="Calibri" w:cs="Calibri"/>
        <w:b/>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4">
    <w:multiLevelType w:val="hybridMultilevel"/>
    <w:name w:val="Genummerde lijst 24"/>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5">
    <w:multiLevelType w:val="hybridMultilevel"/>
    <w:name w:val="Genummerde lijst 25"/>
    <w:lvl w:ilvl="0">
      <w:numFmt w:val="bullet"/>
      <w:suff w:val="tab"/>
      <w:lvlText w:val="-"/>
      <w:lvlJc w:val="left"/>
      <w:pPr>
        <w:ind w:left="360" w:hanging="0"/>
      </w:pPr>
      <w:rPr>
        <w:rFonts w:ascii="Aptos" w:hAnsi="Aptos"/>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6">
    <w:multiLevelType w:val="hybridMultilevel"/>
    <w:name w:val="Genummerde lijst 26"/>
    <w:lvl w:ilvl="0">
      <w:numFmt w:val="bullet"/>
      <w:suff w:val="tab"/>
      <w:lvlText w:val="-"/>
      <w:lvlJc w:val="left"/>
      <w:pPr>
        <w:ind w:left="720" w:hanging="0"/>
      </w:pPr>
      <w:rPr>
        <w:rFonts w:ascii="Aptos" w:hAnsi="Aptos" w:eastAsia="Calibri" w:cs="Calibri"/>
        <w:b/>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7">
    <w:multiLevelType w:val="hybridMultilevel"/>
    <w:name w:val="Genummerde lijst 2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view w:val="print"/>
  <w:displayBackgroundShape/>
  <w:defaultTabStop w:val="708"/>
  <w:autoHyphenation w:val="0"/>
  <w:doNotShadeFormData w:val="0"/>
  <w:captions>
    <w:caption w:name="Tabel" w:pos="below" w:numFmt="decimal"/>
    <w:caption w:name="Illustratie" w:pos="below" w:numFmt="decimal"/>
    <w:caption w:name="Afbeelding"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257"/>
    <w:tmReviewMarkIns w:val="4"/>
    <w:tmReviewColorIns w:val="-1"/>
    <w:tmReviewMarkDel w:val="7"/>
    <w:tmReviewColorDel w:val="-1"/>
    <w:tmReviewMarkFmt w:val="7"/>
    <w:tmReviewColorFmt w:val="-1"/>
    <w:tmReviewMarkLn w:val="1"/>
    <w:tmReviewColorLn w:val="0"/>
    <w:tmReviewToolTip w:val="1"/>
  </w:tmReviewPr>
  <w:tmLastPos>
    <w:tmLastPosPage w:val="34"/>
    <w:tmLastPosSelect w:val="0"/>
    <w:tmLastPosFrameIdx w:val="0"/>
    <w:tmLastPosCaret>
      <w:tmLastPosPgfIdx w:val="424"/>
      <w:tmLastPosIdx w:val="0"/>
    </w:tmLastPosCaret>
    <w:tmLastPosAnchor>
      <w:tmLastPosPgfIdx w:val="0"/>
      <w:tmLastPosIdx w:val="0"/>
    </w:tmLastPosAnchor>
    <w:tmLastPosTblRect w:left="0" w:top="0" w:right="0" w:bottom="0"/>
  </w:tmLastPos>
  <w:tmAppRevision w:date="1781794227" w:val="123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0"/>
        <w:szCs w:val="20"/>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ptos" w:hAnsi="Aptos"/>
      <w:color w:val="313829"/>
      <w:sz w:val="24"/>
    </w:rPr>
  </w:style>
  <w:style w:type="paragraph" w:styleId="para1">
    <w:name w:val="heading 1"/>
    <w:qFormat/>
    <w:basedOn w:val="para0"/>
    <w:next w:val="para0"/>
    <w:pPr>
      <w:spacing w:before="320" w:after="240" w:line="240" w:lineRule="auto"/>
      <w:jc w:val="center"/>
      <w:keepNext/>
      <w:outlineLvl w:val="0"/>
      <w:keepLines/>
    </w:pPr>
    <w:rPr>
      <w:rFonts w:eastAsia="Calibri Light" w:cs="Calibri Light"/>
      <w:b/>
      <w:color w:val="49533d"/>
      <w:sz w:val="56"/>
      <w:szCs w:val="48"/>
    </w:rPr>
  </w:style>
  <w:style w:type="paragraph" w:styleId="para2">
    <w:name w:val="heading 2"/>
    <w:qFormat/>
    <w:basedOn w:val="para0"/>
    <w:next w:val="para0"/>
    <w:pPr>
      <w:spacing w:before="80" w:after="0" w:line="240" w:lineRule="auto"/>
      <w:keepNext/>
      <w:outlineLvl w:val="1"/>
      <w:keepLines/>
    </w:pPr>
    <w:rPr>
      <w:rFonts w:eastAsia="Calibri Light" w:cs="Calibri Light"/>
      <w:b/>
      <w:color w:val="49533d"/>
      <w:sz w:val="32"/>
      <w:szCs w:val="28"/>
    </w:rPr>
  </w:style>
  <w:style w:type="paragraph" w:styleId="para3">
    <w:name w:val="heading 3"/>
    <w:qFormat/>
    <w:basedOn w:val="para0"/>
    <w:next w:val="para0"/>
    <w:pPr>
      <w:spacing w:before="40" w:after="0" w:line="240" w:lineRule="auto"/>
      <w:keepNext/>
      <w:outlineLvl w:val="2"/>
      <w:keepLines/>
    </w:pPr>
    <w:rPr>
      <w:rFonts w:eastAsia="Calibri Light" w:cs="Calibri Light"/>
      <w:b/>
      <w:color w:val="49533d"/>
      <w:sz w:val="28"/>
      <w:szCs w:val="24"/>
    </w:rPr>
  </w:style>
  <w:style w:type="paragraph" w:styleId="para4">
    <w:name w:val="heading 4"/>
    <w:qFormat/>
    <w:basedOn w:val="para0"/>
    <w:next w:val="para0"/>
    <w:pPr>
      <w:spacing w:before="40" w:after="0"/>
      <w:keepNext/>
      <w:outlineLvl w:val="3"/>
      <w:keepLines/>
    </w:pPr>
    <w:rPr>
      <w:rFonts w:eastAsia="Calibri Light" w:cs="Calibri Light"/>
      <w:b/>
      <w:color w:val="637052"/>
      <w:sz w:val="27"/>
      <w:szCs w:val="22"/>
    </w:rPr>
  </w:style>
  <w:style w:type="paragraph" w:styleId="para5">
    <w:name w:val="heading 5"/>
    <w:qFormat/>
    <w:basedOn w:val="para0"/>
    <w:next w:val="para0"/>
    <w:pPr>
      <w:spacing w:before="40" w:after="0"/>
      <w:keepNext/>
      <w:outlineLvl w:val="4"/>
      <w:keepLines/>
    </w:pPr>
    <w:rPr>
      <w:rFonts w:ascii="Calibri Light" w:hAnsi="Calibri Light" w:eastAsia="Calibri Light" w:cs="Calibri Light"/>
      <w:color w:val="637052"/>
      <w:sz w:val="22"/>
      <w:szCs w:val="22"/>
    </w:rPr>
  </w:style>
  <w:style w:type="paragraph" w:styleId="para6">
    <w:name w:val="heading 6"/>
    <w:qFormat/>
    <w:basedOn w:val="para0"/>
    <w:next w:val="para0"/>
    <w:pPr>
      <w:spacing w:before="40" w:after="0"/>
      <w:keepNext/>
      <w:outlineLvl w:val="5"/>
      <w:keepLines/>
    </w:pPr>
    <w:rPr>
      <w:rFonts w:ascii="Calibri Light" w:hAnsi="Calibri Light" w:eastAsia="Calibri Light" w:cs="Calibri Light"/>
      <w:i/>
      <w:iCs/>
      <w:color w:val="637052"/>
      <w:sz w:val="21"/>
      <w:szCs w:val="21"/>
    </w:rPr>
  </w:style>
  <w:style w:type="paragraph" w:styleId="para7">
    <w:name w:val="heading 7"/>
    <w:qFormat/>
    <w:basedOn w:val="para0"/>
    <w:next w:val="para0"/>
    <w:pPr>
      <w:spacing w:before="40" w:after="0"/>
      <w:keepNext/>
      <w:outlineLvl w:val="6"/>
      <w:keepLines/>
    </w:pPr>
    <w:rPr>
      <w:rFonts w:ascii="Calibri Light" w:hAnsi="Calibri Light" w:eastAsia="Calibri Light" w:cs="Calibri Light"/>
      <w:i/>
      <w:iCs/>
      <w:color w:val="724109"/>
      <w:sz w:val="21"/>
      <w:szCs w:val="21"/>
    </w:rPr>
  </w:style>
  <w:style w:type="paragraph" w:styleId="para8">
    <w:name w:val="heading 8"/>
    <w:qFormat/>
    <w:basedOn w:val="para0"/>
    <w:next w:val="para0"/>
    <w:pPr>
      <w:spacing w:before="40" w:after="0"/>
      <w:keepNext/>
      <w:outlineLvl w:val="7"/>
      <w:keepLines/>
    </w:pPr>
    <w:rPr>
      <w:rFonts w:ascii="Calibri Light" w:hAnsi="Calibri Light" w:eastAsia="Calibri Light" w:cs="Calibri Light"/>
      <w:b/>
      <w:bCs/>
      <w:color w:val="637052"/>
    </w:rPr>
  </w:style>
  <w:style w:type="paragraph" w:styleId="para9">
    <w:name w:val="heading 9"/>
    <w:qFormat/>
    <w:basedOn w:val="para0"/>
    <w:next w:val="para0"/>
    <w:pPr>
      <w:spacing w:before="40" w:after="0"/>
      <w:keepNext/>
      <w:outlineLvl w:val="8"/>
      <w:keepLines/>
    </w:pPr>
    <w:rPr>
      <w:rFonts w:ascii="Calibri Light" w:hAnsi="Calibri Light" w:eastAsia="Calibri Light" w:cs="Calibri Light"/>
      <w:b/>
      <w:bCs/>
      <w:i/>
      <w:iCs/>
      <w:color w:val="637052"/>
    </w:rPr>
  </w:style>
  <w:style w:type="paragraph" w:styleId="para10">
    <w:name w:val="Title"/>
    <w:qFormat/>
    <w:basedOn w:val="para0"/>
    <w:next w:val="para0"/>
    <w:pPr>
      <w:spacing w:after="0" w:line="240" w:lineRule="auto"/>
      <w:contextualSpacing/>
    </w:pPr>
    <w:rPr>
      <w:rFonts w:ascii="Calibri Light" w:hAnsi="Calibri Light" w:eastAsia="Calibri Light" w:cs="Calibri Light"/>
      <w:color w:val="e48312"/>
      <w:spacing w:val="-9" w:percent="97"/>
      <w:sz w:val="56"/>
      <w:szCs w:val="56"/>
    </w:rPr>
  </w:style>
  <w:style w:type="paragraph" w:styleId="para11">
    <w:name w:val="Subtitle"/>
    <w:qFormat/>
    <w:basedOn w:val="para0"/>
    <w:next w:val="para0"/>
    <w:pPr>
      <w:spacing w:line="240" w:lineRule="auto"/>
    </w:pPr>
    <w:rPr>
      <w:rFonts w:ascii="Calibri Light" w:hAnsi="Calibri Light" w:eastAsia="Calibri Light" w:cs="Calibri Light"/>
      <w:szCs w:val="24"/>
    </w:rPr>
  </w:style>
  <w:style w:type="paragraph" w:styleId="para12">
    <w:name w:val="Quote"/>
    <w:qFormat/>
    <w:basedOn w:val="para0"/>
    <w:next w:val="para0"/>
    <w:pPr>
      <w:ind w:left="720" w:right="720"/>
      <w:spacing w:before="160"/>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1224" w:right="1224"/>
      <w:spacing w:before="100" w:beforeAutospacing="1" w:line="300" w:lineRule="auto"/>
      <w:pBdr>
        <w:top w:val="nil" w:sz="0" w:space="3" w:color="000000" tmln="20, 20, 20, 0, 60"/>
        <w:left w:val="single" w:sz="18" w:space="12" w:color="E48312" tmln="45, 20, 20, 0, 240"/>
        <w:bottom w:val="nil" w:sz="0" w:space="3" w:color="000000" tmln="20, 20, 20, 0, 60"/>
        <w:right w:val="nil" w:sz="0" w:space="3" w:color="000000" tmln="20, 20, 20, 0, 60"/>
        <w:between w:val="nil" w:sz="0" w:space="0" w:color="000000" tmln="20, 20, 20, 0, 0"/>
      </w:pBdr>
      <w:shd w:val="none"/>
    </w:pPr>
    <w:rPr>
      <w:rFonts w:ascii="Calibri Light" w:hAnsi="Calibri Light" w:eastAsia="Calibri Light" w:cs="Calibri Light"/>
      <w:color w:val="e48312"/>
      <w:sz w:val="28"/>
      <w:szCs w:val="28"/>
    </w:rPr>
  </w:style>
  <w:style w:type="paragraph" w:styleId="para15">
    <w:name w:val="caption"/>
    <w:qFormat/>
    <w:basedOn w:val="para0"/>
    <w:next w:val="para0"/>
    <w:pPr>
      <w:spacing w:line="240" w:lineRule="auto"/>
    </w:pPr>
    <w:rPr>
      <w:b/>
      <w:bCs/>
      <w:smallCaps w:percent="80"/>
      <w:color w:val="595959"/>
      <w:spacing w:val="6" w:percent="105"/>
    </w:rPr>
  </w:style>
  <w:style w:type="paragraph" w:styleId="para16">
    <w:name w:val="No Spacing"/>
    <w:qFormat/>
    <w:pPr>
      <w:spacing w:after="0" w:line="240" w:lineRule="auto"/>
    </w:pPr>
    <w:rPr>
      <w:rFonts w:ascii="Calibri" w:hAnsi="Calibri" w:eastAsia="Calibri" w:cs="Calibri"/>
      <w:lang w:val="nl-nl" w:eastAsia="en-us" w:bidi="ar-sa"/>
    </w:rPr>
  </w:style>
  <w:style w:type="paragraph" w:styleId="para17">
    <w:name w:val="TOC Heading"/>
    <w:qFormat/>
    <w:basedOn w:val="para1"/>
    <w:next w:val="para0"/>
    <w:pPr>
      <w:outlineLvl w:val="9"/>
    </w:pPr>
  </w:style>
  <w:style w:type="paragraph" w:styleId="para18" w:customStyle="1">
    <w:name w:val="annotation text"/>
    <w:qFormat/>
    <w:basedOn w:val="para0"/>
    <w:pPr>
      <w:spacing w:line="240" w:lineRule="auto"/>
    </w:pPr>
  </w:style>
  <w:style w:type="paragraph" w:styleId="para19" w:customStyle="1">
    <w:name w:val="annotation subject"/>
    <w:qFormat/>
    <w:basedOn w:val="para18"/>
    <w:next w:val="para18"/>
    <w:rPr>
      <w:b/>
      <w:bCs/>
    </w:rPr>
  </w:style>
  <w:style w:type="paragraph" w:styleId="para20">
    <w:name w:val="Footnote Text"/>
    <w:qFormat/>
    <w:basedOn w:val="para0"/>
    <w:pPr>
      <w:spacing w:after="0" w:line="240" w:lineRule="auto"/>
    </w:pPr>
  </w:style>
  <w:style w:type="paragraph" w:styleId="para21">
    <w:name w:val="Header"/>
    <w:qFormat/>
    <w:basedOn w:val="para0"/>
    <w:pPr>
      <w:spacing w:after="0" w:line="240" w:lineRule="auto"/>
      <w:tabs defTabSz="708">
        <w:tab w:val="center" w:pos="4536" w:leader="none"/>
        <w:tab w:val="right" w:pos="9072" w:leader="none"/>
      </w:tabs>
    </w:pPr>
  </w:style>
  <w:style w:type="paragraph" w:styleId="para22">
    <w:name w:val="Footer"/>
    <w:qFormat/>
    <w:basedOn w:val="para0"/>
    <w:pPr>
      <w:spacing w:after="0" w:line="240" w:lineRule="auto"/>
      <w:tabs defTabSz="708">
        <w:tab w:val="center" w:pos="4536" w:leader="none"/>
        <w:tab w:val="right" w:pos="9072" w:leader="none"/>
      </w:tabs>
    </w:pPr>
  </w:style>
  <w:style w:type="paragraph" w:styleId="para23">
    <w:name w:val="toc 1"/>
    <w:qFormat/>
    <w:basedOn w:val="para0"/>
    <w:next w:val="para0"/>
    <w:pPr>
      <w:spacing w:after="100"/>
    </w:pPr>
  </w:style>
  <w:style w:type="paragraph" w:styleId="para24">
    <w:name w:val="toc 2"/>
    <w:qFormat/>
    <w:basedOn w:val="para0"/>
    <w:next w:val="para0"/>
    <w:pPr>
      <w:ind w:left="200"/>
      <w:spacing w:after="100"/>
    </w:pPr>
  </w:style>
  <w:style w:type="paragraph" w:styleId="para25">
    <w:name w:val="toc 3"/>
    <w:qFormat/>
    <w:basedOn w:val="para0"/>
    <w:next w:val="para0"/>
    <w:pPr>
      <w:ind w:left="400"/>
      <w:spacing w:after="100"/>
    </w:pPr>
  </w:style>
  <w:style w:type="paragraph" w:styleId="para26">
    <w:name w:val="Normal (Web)"/>
    <w:qFormat/>
    <w:basedOn w:val="para0"/>
    <w:rPr>
      <w:rFonts w:ascii="Times New Roman" w:hAnsi="Times New Roman" w:cs="Times New Roman"/>
      <w:szCs w:val="24"/>
    </w:rPr>
  </w:style>
  <w:style w:type="character" w:styleId="char0" w:default="1">
    <w:name w:val="Default Paragraph Font"/>
  </w:style>
  <w:style w:type="character" w:styleId="char1" w:customStyle="1">
    <w:name w:val="Kop 2 Char"/>
    <w:basedOn w:val="char0"/>
    <w:rPr>
      <w:rFonts w:ascii="Aptos" w:hAnsi="Aptos" w:eastAsia="Calibri Light" w:cs="Calibri Light"/>
      <w:b/>
      <w:color w:val="49533d"/>
      <w:sz w:val="32"/>
      <w:szCs w:val="28"/>
    </w:rPr>
  </w:style>
  <w:style w:type="character" w:styleId="char2" w:customStyle="1">
    <w:name w:val="Kop 1 Char"/>
    <w:basedOn w:val="char0"/>
    <w:rPr>
      <w:rFonts w:ascii="Aptos" w:hAnsi="Aptos" w:eastAsia="Calibri Light" w:cs="Calibri Light"/>
      <w:b/>
      <w:color w:val="49533d"/>
      <w:sz w:val="56"/>
      <w:szCs w:val="48"/>
    </w:rPr>
  </w:style>
  <w:style w:type="character" w:styleId="char3">
    <w:name w:val="Intense Emphasis"/>
    <w:basedOn w:val="char0"/>
    <w:rPr>
      <w:b/>
      <w:bCs/>
      <w:i/>
      <w:iCs/>
    </w:rPr>
  </w:style>
  <w:style w:type="character" w:styleId="char4" w:customStyle="1">
    <w:name w:val="Kop 3 Char"/>
    <w:basedOn w:val="char0"/>
    <w:rPr>
      <w:rFonts w:ascii="Aptos" w:hAnsi="Aptos" w:eastAsia="Calibri Light" w:cs="Calibri Light"/>
      <w:b/>
      <w:color w:val="49533d"/>
      <w:sz w:val="28"/>
      <w:szCs w:val="24"/>
    </w:rPr>
  </w:style>
  <w:style w:type="character" w:styleId="char5" w:customStyle="1">
    <w:name w:val="Kop 4 Char"/>
    <w:basedOn w:val="char0"/>
    <w:rPr>
      <w:rFonts w:ascii="Aptos" w:hAnsi="Aptos" w:eastAsia="Calibri Light" w:cs="Calibri Light"/>
      <w:b/>
      <w:color w:val="637052"/>
      <w:sz w:val="27"/>
      <w:szCs w:val="22"/>
    </w:rPr>
  </w:style>
  <w:style w:type="character" w:styleId="char6" w:customStyle="1">
    <w:name w:val="Kop 5 Char"/>
    <w:basedOn w:val="char0"/>
    <w:rPr>
      <w:rFonts w:ascii="Calibri Light" w:hAnsi="Calibri Light" w:eastAsia="Calibri Light" w:cs="Calibri Light"/>
      <w:color w:val="637052"/>
      <w:sz w:val="22"/>
      <w:szCs w:val="22"/>
    </w:rPr>
  </w:style>
  <w:style w:type="character" w:styleId="char7" w:customStyle="1">
    <w:name w:val="Kop 6 Char"/>
    <w:basedOn w:val="char0"/>
    <w:rPr>
      <w:rFonts w:ascii="Calibri Light" w:hAnsi="Calibri Light" w:eastAsia="Calibri Light" w:cs="Calibri Light"/>
      <w:i/>
      <w:iCs/>
      <w:color w:val="637052"/>
      <w:sz w:val="21"/>
      <w:szCs w:val="21"/>
    </w:rPr>
  </w:style>
  <w:style w:type="character" w:styleId="char8" w:customStyle="1">
    <w:name w:val="Kop 7 Char"/>
    <w:basedOn w:val="char0"/>
    <w:rPr>
      <w:rFonts w:ascii="Calibri Light" w:hAnsi="Calibri Light" w:eastAsia="Calibri Light" w:cs="Calibri Light"/>
      <w:i/>
      <w:iCs/>
      <w:color w:val="724109"/>
      <w:sz w:val="21"/>
      <w:szCs w:val="21"/>
    </w:rPr>
  </w:style>
  <w:style w:type="character" w:styleId="char9" w:customStyle="1">
    <w:name w:val="Kop 8 Char"/>
    <w:basedOn w:val="char0"/>
    <w:rPr>
      <w:rFonts w:ascii="Calibri Light" w:hAnsi="Calibri Light" w:eastAsia="Calibri Light" w:cs="Calibri Light"/>
      <w:b/>
      <w:bCs/>
      <w:color w:val="637052"/>
    </w:rPr>
  </w:style>
  <w:style w:type="character" w:styleId="char10" w:customStyle="1">
    <w:name w:val="Kop 9 Char"/>
    <w:basedOn w:val="char0"/>
    <w:rPr>
      <w:rFonts w:ascii="Calibri Light" w:hAnsi="Calibri Light" w:eastAsia="Calibri Light" w:cs="Calibri Light"/>
      <w:b/>
      <w:bCs/>
      <w:i/>
      <w:iCs/>
      <w:color w:val="637052"/>
    </w:rPr>
  </w:style>
  <w:style w:type="character" w:styleId="char11" w:customStyle="1">
    <w:name w:val="Titel Char"/>
    <w:basedOn w:val="char0"/>
    <w:rPr>
      <w:rFonts w:ascii="Calibri Light" w:hAnsi="Calibri Light" w:eastAsia="Calibri Light" w:cs="Calibri Light"/>
      <w:color w:val="e48312"/>
      <w:spacing w:val="-9" w:percent="97"/>
      <w:sz w:val="56"/>
      <w:szCs w:val="56"/>
    </w:rPr>
  </w:style>
  <w:style w:type="character" w:styleId="char12" w:customStyle="1">
    <w:name w:val="Ondertitel Char"/>
    <w:basedOn w:val="char0"/>
    <w:rPr>
      <w:rFonts w:ascii="Calibri Light" w:hAnsi="Calibri Light" w:eastAsia="Calibri Light" w:cs="Calibri Light"/>
      <w:sz w:val="24"/>
      <w:szCs w:val="24"/>
    </w:rPr>
  </w:style>
  <w:style w:type="character" w:styleId="char13" w:customStyle="1">
    <w:name w:val="Citaat Char"/>
    <w:basedOn w:val="char0"/>
    <w:rPr>
      <w:i/>
      <w:iCs/>
      <w:color w:val="404040"/>
    </w:rPr>
  </w:style>
  <w:style w:type="character" w:styleId="char14" w:customStyle="1">
    <w:name w:val="Duidelijk citaat Char"/>
    <w:basedOn w:val="char0"/>
    <w:rPr>
      <w:rFonts w:ascii="Calibri Light" w:hAnsi="Calibri Light" w:eastAsia="Calibri Light" w:cs="Calibri Light"/>
      <w:color w:val="e48312"/>
      <w:sz w:val="28"/>
      <w:szCs w:val="28"/>
    </w:rPr>
  </w:style>
  <w:style w:type="character" w:styleId="char15">
    <w:name w:val="Intense Reference"/>
    <w:basedOn w:val="char0"/>
    <w:rPr>
      <w:b/>
      <w:bCs/>
      <w:smallCaps w:percent="80"/>
      <w:spacing w:val="0" w:percent="100"/>
      <w:u w:color="auto" w:val="single"/>
    </w:rPr>
  </w:style>
  <w:style w:type="character" w:styleId="char16">
    <w:name w:val="Strong"/>
    <w:basedOn w:val="char0"/>
    <w:rPr>
      <w:b/>
      <w:bCs/>
    </w:rPr>
  </w:style>
  <w:style w:type="character" w:styleId="char17">
    <w:name w:val="Emphasis"/>
    <w:basedOn w:val="char0"/>
    <w:rPr>
      <w:i/>
      <w:iCs/>
    </w:rPr>
  </w:style>
  <w:style w:type="character" w:styleId="char18">
    <w:name w:val="Subtle Emphasis"/>
    <w:basedOn w:val="char0"/>
    <w:rPr>
      <w:i/>
      <w:iCs/>
      <w:color w:val="404040"/>
    </w:rPr>
  </w:style>
  <w:style w:type="character" w:styleId="char19">
    <w:name w:val="Subtle Reference"/>
    <w:basedOn w:val="char0"/>
    <w:rPr>
      <w:smallCaps w:percent="80"/>
      <w:color w:val="404040"/>
      <w:u w:color="7f7f7f" w:val="single"/>
    </w:rPr>
  </w:style>
  <w:style w:type="character" w:styleId="char20">
    <w:name w:val="Book Title"/>
    <w:basedOn w:val="char0"/>
    <w:rPr>
      <w:b/>
      <w:bCs/>
      <w:smallCaps w:percent="80"/>
    </w:rPr>
  </w:style>
  <w:style w:type="character" w:styleId="char21" w:customStyle="1">
    <w:name w:val="annotation reference"/>
    <w:basedOn w:val="char0"/>
    <w:rPr>
      <w:sz w:val="16"/>
      <w:szCs w:val="16"/>
    </w:rPr>
  </w:style>
  <w:style w:type="character" w:styleId="char22" w:customStyle="1">
    <w:name w:val="Tekst opmerking Char"/>
    <w:basedOn w:val="char0"/>
  </w:style>
  <w:style w:type="character" w:styleId="char23" w:customStyle="1">
    <w:name w:val="Onderwerp van opmerking Char"/>
    <w:basedOn w:val="char22"/>
    <w:rPr>
      <w:b/>
      <w:bCs/>
    </w:rPr>
  </w:style>
  <w:style w:type="character" w:styleId="char24" w:customStyle="1">
    <w:name w:val="Voetnoottekst Char"/>
    <w:basedOn w:val="char0"/>
  </w:style>
  <w:style w:type="character" w:styleId="char25">
    <w:name w:val="Footnote Reference"/>
    <w:basedOn w:val="char0"/>
    <w:rPr>
      <w:vertAlign w:val="superscript"/>
    </w:rPr>
  </w:style>
  <w:style w:type="character" w:styleId="char26">
    <w:name w:val="Hyperlink"/>
    <w:basedOn w:val="char0"/>
    <w:rPr>
      <w:b w:val="0"/>
      <w:i w:val="0"/>
      <w:color w:val="1b1f17"/>
      <w:u w:color="auto" w:val="single"/>
    </w:rPr>
  </w:style>
  <w:style w:type="character" w:styleId="char27" w:customStyle="1">
    <w:name w:val="Unresolved Mention"/>
    <w:basedOn w:val="char0"/>
    <w:rPr>
      <w:color w:val="605e5c"/>
      <w:shd w:val="clear" w:fill="e1dfdd"/>
    </w:rPr>
  </w:style>
  <w:style w:type="character" w:styleId="char28" w:customStyle="1">
    <w:name w:val="Koptekst Char"/>
    <w:basedOn w:val="char0"/>
  </w:style>
  <w:style w:type="character" w:styleId="char29" w:customStyle="1">
    <w:name w:val="Voettekst Char"/>
    <w:basedOn w:val="char0"/>
  </w:style>
  <w:style w:type="character" w:styleId="char30">
    <w:name w:val="FollowedHyperlink"/>
    <w:basedOn w:val="char0"/>
    <w:rPr>
      <w:color w:val="8c8c8c"/>
      <w:u w:color="auto" w:val="single"/>
    </w:rPr>
  </w:style>
  <w:style w:type="character" w:styleId="char31">
    <w:name w:val="Placeholder Text"/>
    <w:basedOn w:val="char0"/>
    <w:rPr>
      <w:color w:val="666666"/>
    </w:rPr>
  </w:style>
  <w:style w:type="table" w:default="1" w:styleId="TableNormal">
    <w:name w:val="Normale tabe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0"/>
        <w:szCs w:val="20"/>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ptos" w:hAnsi="Aptos"/>
      <w:color w:val="313829"/>
      <w:sz w:val="24"/>
    </w:rPr>
  </w:style>
  <w:style w:type="paragraph" w:styleId="para1">
    <w:name w:val="heading 1"/>
    <w:qFormat/>
    <w:basedOn w:val="para0"/>
    <w:next w:val="para0"/>
    <w:pPr>
      <w:spacing w:before="320" w:after="240" w:line="240" w:lineRule="auto"/>
      <w:jc w:val="center"/>
      <w:keepNext/>
      <w:outlineLvl w:val="0"/>
      <w:keepLines/>
    </w:pPr>
    <w:rPr>
      <w:rFonts w:eastAsia="Calibri Light" w:cs="Calibri Light"/>
      <w:b/>
      <w:color w:val="49533d"/>
      <w:sz w:val="56"/>
      <w:szCs w:val="48"/>
    </w:rPr>
  </w:style>
  <w:style w:type="paragraph" w:styleId="para2">
    <w:name w:val="heading 2"/>
    <w:qFormat/>
    <w:basedOn w:val="para0"/>
    <w:next w:val="para0"/>
    <w:pPr>
      <w:spacing w:before="80" w:after="0" w:line="240" w:lineRule="auto"/>
      <w:keepNext/>
      <w:outlineLvl w:val="1"/>
      <w:keepLines/>
    </w:pPr>
    <w:rPr>
      <w:rFonts w:eastAsia="Calibri Light" w:cs="Calibri Light"/>
      <w:b/>
      <w:color w:val="49533d"/>
      <w:sz w:val="32"/>
      <w:szCs w:val="28"/>
    </w:rPr>
  </w:style>
  <w:style w:type="paragraph" w:styleId="para3">
    <w:name w:val="heading 3"/>
    <w:qFormat/>
    <w:basedOn w:val="para0"/>
    <w:next w:val="para0"/>
    <w:pPr>
      <w:spacing w:before="40" w:after="0" w:line="240" w:lineRule="auto"/>
      <w:keepNext/>
      <w:outlineLvl w:val="2"/>
      <w:keepLines/>
    </w:pPr>
    <w:rPr>
      <w:rFonts w:eastAsia="Calibri Light" w:cs="Calibri Light"/>
      <w:b/>
      <w:color w:val="49533d"/>
      <w:sz w:val="28"/>
      <w:szCs w:val="24"/>
    </w:rPr>
  </w:style>
  <w:style w:type="paragraph" w:styleId="para4">
    <w:name w:val="heading 4"/>
    <w:qFormat/>
    <w:basedOn w:val="para0"/>
    <w:next w:val="para0"/>
    <w:pPr>
      <w:spacing w:before="40" w:after="0"/>
      <w:keepNext/>
      <w:outlineLvl w:val="3"/>
      <w:keepLines/>
    </w:pPr>
    <w:rPr>
      <w:rFonts w:eastAsia="Calibri Light" w:cs="Calibri Light"/>
      <w:b/>
      <w:color w:val="637052"/>
      <w:sz w:val="27"/>
      <w:szCs w:val="22"/>
    </w:rPr>
  </w:style>
  <w:style w:type="paragraph" w:styleId="para5">
    <w:name w:val="heading 5"/>
    <w:qFormat/>
    <w:basedOn w:val="para0"/>
    <w:next w:val="para0"/>
    <w:pPr>
      <w:spacing w:before="40" w:after="0"/>
      <w:keepNext/>
      <w:outlineLvl w:val="4"/>
      <w:keepLines/>
    </w:pPr>
    <w:rPr>
      <w:rFonts w:ascii="Calibri Light" w:hAnsi="Calibri Light" w:eastAsia="Calibri Light" w:cs="Calibri Light"/>
      <w:color w:val="637052"/>
      <w:sz w:val="22"/>
      <w:szCs w:val="22"/>
    </w:rPr>
  </w:style>
  <w:style w:type="paragraph" w:styleId="para6">
    <w:name w:val="heading 6"/>
    <w:qFormat/>
    <w:basedOn w:val="para0"/>
    <w:next w:val="para0"/>
    <w:pPr>
      <w:spacing w:before="40" w:after="0"/>
      <w:keepNext/>
      <w:outlineLvl w:val="5"/>
      <w:keepLines/>
    </w:pPr>
    <w:rPr>
      <w:rFonts w:ascii="Calibri Light" w:hAnsi="Calibri Light" w:eastAsia="Calibri Light" w:cs="Calibri Light"/>
      <w:i/>
      <w:iCs/>
      <w:color w:val="637052"/>
      <w:sz w:val="21"/>
      <w:szCs w:val="21"/>
    </w:rPr>
  </w:style>
  <w:style w:type="paragraph" w:styleId="para7">
    <w:name w:val="heading 7"/>
    <w:qFormat/>
    <w:basedOn w:val="para0"/>
    <w:next w:val="para0"/>
    <w:pPr>
      <w:spacing w:before="40" w:after="0"/>
      <w:keepNext/>
      <w:outlineLvl w:val="6"/>
      <w:keepLines/>
    </w:pPr>
    <w:rPr>
      <w:rFonts w:ascii="Calibri Light" w:hAnsi="Calibri Light" w:eastAsia="Calibri Light" w:cs="Calibri Light"/>
      <w:i/>
      <w:iCs/>
      <w:color w:val="724109"/>
      <w:sz w:val="21"/>
      <w:szCs w:val="21"/>
    </w:rPr>
  </w:style>
  <w:style w:type="paragraph" w:styleId="para8">
    <w:name w:val="heading 8"/>
    <w:qFormat/>
    <w:basedOn w:val="para0"/>
    <w:next w:val="para0"/>
    <w:pPr>
      <w:spacing w:before="40" w:after="0"/>
      <w:keepNext/>
      <w:outlineLvl w:val="7"/>
      <w:keepLines/>
    </w:pPr>
    <w:rPr>
      <w:rFonts w:ascii="Calibri Light" w:hAnsi="Calibri Light" w:eastAsia="Calibri Light" w:cs="Calibri Light"/>
      <w:b/>
      <w:bCs/>
      <w:color w:val="637052"/>
    </w:rPr>
  </w:style>
  <w:style w:type="paragraph" w:styleId="para9">
    <w:name w:val="heading 9"/>
    <w:qFormat/>
    <w:basedOn w:val="para0"/>
    <w:next w:val="para0"/>
    <w:pPr>
      <w:spacing w:before="40" w:after="0"/>
      <w:keepNext/>
      <w:outlineLvl w:val="8"/>
      <w:keepLines/>
    </w:pPr>
    <w:rPr>
      <w:rFonts w:ascii="Calibri Light" w:hAnsi="Calibri Light" w:eastAsia="Calibri Light" w:cs="Calibri Light"/>
      <w:b/>
      <w:bCs/>
      <w:i/>
      <w:iCs/>
      <w:color w:val="637052"/>
    </w:rPr>
  </w:style>
  <w:style w:type="paragraph" w:styleId="para10">
    <w:name w:val="Title"/>
    <w:qFormat/>
    <w:basedOn w:val="para0"/>
    <w:next w:val="para0"/>
    <w:pPr>
      <w:spacing w:after="0" w:line="240" w:lineRule="auto"/>
      <w:contextualSpacing/>
    </w:pPr>
    <w:rPr>
      <w:rFonts w:ascii="Calibri Light" w:hAnsi="Calibri Light" w:eastAsia="Calibri Light" w:cs="Calibri Light"/>
      <w:color w:val="e48312"/>
      <w:spacing w:val="-9" w:percent="97"/>
      <w:sz w:val="56"/>
      <w:szCs w:val="56"/>
    </w:rPr>
  </w:style>
  <w:style w:type="paragraph" w:styleId="para11">
    <w:name w:val="Subtitle"/>
    <w:qFormat/>
    <w:basedOn w:val="para0"/>
    <w:next w:val="para0"/>
    <w:pPr>
      <w:spacing w:line="240" w:lineRule="auto"/>
    </w:pPr>
    <w:rPr>
      <w:rFonts w:ascii="Calibri Light" w:hAnsi="Calibri Light" w:eastAsia="Calibri Light" w:cs="Calibri Light"/>
      <w:szCs w:val="24"/>
    </w:rPr>
  </w:style>
  <w:style w:type="paragraph" w:styleId="para12">
    <w:name w:val="Quote"/>
    <w:qFormat/>
    <w:basedOn w:val="para0"/>
    <w:next w:val="para0"/>
    <w:pPr>
      <w:ind w:left="720" w:right="720"/>
      <w:spacing w:before="160"/>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1224" w:right="1224"/>
      <w:spacing w:before="100" w:beforeAutospacing="1" w:line="300" w:lineRule="auto"/>
      <w:pBdr>
        <w:top w:val="nil" w:sz="0" w:space="3" w:color="000000" tmln="20, 20, 20, 0, 60"/>
        <w:left w:val="single" w:sz="18" w:space="12" w:color="E48312" tmln="45, 20, 20, 0, 240"/>
        <w:bottom w:val="nil" w:sz="0" w:space="3" w:color="000000" tmln="20, 20, 20, 0, 60"/>
        <w:right w:val="nil" w:sz="0" w:space="3" w:color="000000" tmln="20, 20, 20, 0, 60"/>
        <w:between w:val="nil" w:sz="0" w:space="0" w:color="000000" tmln="20, 20, 20, 0, 0"/>
      </w:pBdr>
      <w:shd w:val="none"/>
    </w:pPr>
    <w:rPr>
      <w:rFonts w:ascii="Calibri Light" w:hAnsi="Calibri Light" w:eastAsia="Calibri Light" w:cs="Calibri Light"/>
      <w:color w:val="e48312"/>
      <w:sz w:val="28"/>
      <w:szCs w:val="28"/>
    </w:rPr>
  </w:style>
  <w:style w:type="paragraph" w:styleId="para15">
    <w:name w:val="caption"/>
    <w:qFormat/>
    <w:basedOn w:val="para0"/>
    <w:next w:val="para0"/>
    <w:pPr>
      <w:spacing w:line="240" w:lineRule="auto"/>
    </w:pPr>
    <w:rPr>
      <w:b/>
      <w:bCs/>
      <w:smallCaps w:percent="80"/>
      <w:color w:val="595959"/>
      <w:spacing w:val="6" w:percent="105"/>
    </w:rPr>
  </w:style>
  <w:style w:type="paragraph" w:styleId="para16">
    <w:name w:val="No Spacing"/>
    <w:qFormat/>
    <w:pPr>
      <w:spacing w:after="0" w:line="240" w:lineRule="auto"/>
    </w:pPr>
    <w:rPr>
      <w:rFonts w:ascii="Calibri" w:hAnsi="Calibri" w:eastAsia="Calibri" w:cs="Calibri"/>
      <w:lang w:val="nl-nl" w:eastAsia="en-us" w:bidi="ar-sa"/>
    </w:rPr>
  </w:style>
  <w:style w:type="paragraph" w:styleId="para17">
    <w:name w:val="TOC Heading"/>
    <w:qFormat/>
    <w:basedOn w:val="para1"/>
    <w:next w:val="para0"/>
    <w:pPr>
      <w:outlineLvl w:val="9"/>
    </w:pPr>
  </w:style>
  <w:style w:type="paragraph" w:styleId="para18" w:customStyle="1">
    <w:name w:val="annotation text"/>
    <w:qFormat/>
    <w:basedOn w:val="para0"/>
    <w:pPr>
      <w:spacing w:line="240" w:lineRule="auto"/>
    </w:pPr>
  </w:style>
  <w:style w:type="paragraph" w:styleId="para19" w:customStyle="1">
    <w:name w:val="annotation subject"/>
    <w:qFormat/>
    <w:basedOn w:val="para18"/>
    <w:next w:val="para18"/>
    <w:rPr>
      <w:b/>
      <w:bCs/>
    </w:rPr>
  </w:style>
  <w:style w:type="paragraph" w:styleId="para20">
    <w:name w:val="Footnote Text"/>
    <w:qFormat/>
    <w:basedOn w:val="para0"/>
    <w:pPr>
      <w:spacing w:after="0" w:line="240" w:lineRule="auto"/>
    </w:pPr>
  </w:style>
  <w:style w:type="paragraph" w:styleId="para21">
    <w:name w:val="Header"/>
    <w:qFormat/>
    <w:basedOn w:val="para0"/>
    <w:pPr>
      <w:spacing w:after="0" w:line="240" w:lineRule="auto"/>
      <w:tabs defTabSz="708">
        <w:tab w:val="center" w:pos="4536" w:leader="none"/>
        <w:tab w:val="right" w:pos="9072" w:leader="none"/>
      </w:tabs>
    </w:pPr>
  </w:style>
  <w:style w:type="paragraph" w:styleId="para22">
    <w:name w:val="Footer"/>
    <w:qFormat/>
    <w:basedOn w:val="para0"/>
    <w:pPr>
      <w:spacing w:after="0" w:line="240" w:lineRule="auto"/>
      <w:tabs defTabSz="708">
        <w:tab w:val="center" w:pos="4536" w:leader="none"/>
        <w:tab w:val="right" w:pos="9072" w:leader="none"/>
      </w:tabs>
    </w:pPr>
  </w:style>
  <w:style w:type="paragraph" w:styleId="para23">
    <w:name w:val="toc 1"/>
    <w:qFormat/>
    <w:basedOn w:val="para0"/>
    <w:next w:val="para0"/>
    <w:pPr>
      <w:spacing w:after="100"/>
    </w:pPr>
  </w:style>
  <w:style w:type="paragraph" w:styleId="para24">
    <w:name w:val="toc 2"/>
    <w:qFormat/>
    <w:basedOn w:val="para0"/>
    <w:next w:val="para0"/>
    <w:pPr>
      <w:ind w:left="200"/>
      <w:spacing w:after="100"/>
    </w:pPr>
  </w:style>
  <w:style w:type="paragraph" w:styleId="para25">
    <w:name w:val="toc 3"/>
    <w:qFormat/>
    <w:basedOn w:val="para0"/>
    <w:next w:val="para0"/>
    <w:pPr>
      <w:ind w:left="400"/>
      <w:spacing w:after="100"/>
    </w:pPr>
  </w:style>
  <w:style w:type="paragraph" w:styleId="para26">
    <w:name w:val="Normal (Web)"/>
    <w:qFormat/>
    <w:basedOn w:val="para0"/>
    <w:rPr>
      <w:rFonts w:ascii="Times New Roman" w:hAnsi="Times New Roman" w:cs="Times New Roman"/>
      <w:szCs w:val="24"/>
    </w:rPr>
  </w:style>
  <w:style w:type="character" w:styleId="char0" w:default="1">
    <w:name w:val="Default Paragraph Font"/>
  </w:style>
  <w:style w:type="character" w:styleId="char1" w:customStyle="1">
    <w:name w:val="Kop 2 Char"/>
    <w:basedOn w:val="char0"/>
    <w:rPr>
      <w:rFonts w:ascii="Aptos" w:hAnsi="Aptos" w:eastAsia="Calibri Light" w:cs="Calibri Light"/>
      <w:b/>
      <w:color w:val="49533d"/>
      <w:sz w:val="32"/>
      <w:szCs w:val="28"/>
    </w:rPr>
  </w:style>
  <w:style w:type="character" w:styleId="char2" w:customStyle="1">
    <w:name w:val="Kop 1 Char"/>
    <w:basedOn w:val="char0"/>
    <w:rPr>
      <w:rFonts w:ascii="Aptos" w:hAnsi="Aptos" w:eastAsia="Calibri Light" w:cs="Calibri Light"/>
      <w:b/>
      <w:color w:val="49533d"/>
      <w:sz w:val="56"/>
      <w:szCs w:val="48"/>
    </w:rPr>
  </w:style>
  <w:style w:type="character" w:styleId="char3">
    <w:name w:val="Intense Emphasis"/>
    <w:basedOn w:val="char0"/>
    <w:rPr>
      <w:b/>
      <w:bCs/>
      <w:i/>
      <w:iCs/>
    </w:rPr>
  </w:style>
  <w:style w:type="character" w:styleId="char4" w:customStyle="1">
    <w:name w:val="Kop 3 Char"/>
    <w:basedOn w:val="char0"/>
    <w:rPr>
      <w:rFonts w:ascii="Aptos" w:hAnsi="Aptos" w:eastAsia="Calibri Light" w:cs="Calibri Light"/>
      <w:b/>
      <w:color w:val="49533d"/>
      <w:sz w:val="28"/>
      <w:szCs w:val="24"/>
    </w:rPr>
  </w:style>
  <w:style w:type="character" w:styleId="char5" w:customStyle="1">
    <w:name w:val="Kop 4 Char"/>
    <w:basedOn w:val="char0"/>
    <w:rPr>
      <w:rFonts w:ascii="Aptos" w:hAnsi="Aptos" w:eastAsia="Calibri Light" w:cs="Calibri Light"/>
      <w:b/>
      <w:color w:val="637052"/>
      <w:sz w:val="27"/>
      <w:szCs w:val="22"/>
    </w:rPr>
  </w:style>
  <w:style w:type="character" w:styleId="char6" w:customStyle="1">
    <w:name w:val="Kop 5 Char"/>
    <w:basedOn w:val="char0"/>
    <w:rPr>
      <w:rFonts w:ascii="Calibri Light" w:hAnsi="Calibri Light" w:eastAsia="Calibri Light" w:cs="Calibri Light"/>
      <w:color w:val="637052"/>
      <w:sz w:val="22"/>
      <w:szCs w:val="22"/>
    </w:rPr>
  </w:style>
  <w:style w:type="character" w:styleId="char7" w:customStyle="1">
    <w:name w:val="Kop 6 Char"/>
    <w:basedOn w:val="char0"/>
    <w:rPr>
      <w:rFonts w:ascii="Calibri Light" w:hAnsi="Calibri Light" w:eastAsia="Calibri Light" w:cs="Calibri Light"/>
      <w:i/>
      <w:iCs/>
      <w:color w:val="637052"/>
      <w:sz w:val="21"/>
      <w:szCs w:val="21"/>
    </w:rPr>
  </w:style>
  <w:style w:type="character" w:styleId="char8" w:customStyle="1">
    <w:name w:val="Kop 7 Char"/>
    <w:basedOn w:val="char0"/>
    <w:rPr>
      <w:rFonts w:ascii="Calibri Light" w:hAnsi="Calibri Light" w:eastAsia="Calibri Light" w:cs="Calibri Light"/>
      <w:i/>
      <w:iCs/>
      <w:color w:val="724109"/>
      <w:sz w:val="21"/>
      <w:szCs w:val="21"/>
    </w:rPr>
  </w:style>
  <w:style w:type="character" w:styleId="char9" w:customStyle="1">
    <w:name w:val="Kop 8 Char"/>
    <w:basedOn w:val="char0"/>
    <w:rPr>
      <w:rFonts w:ascii="Calibri Light" w:hAnsi="Calibri Light" w:eastAsia="Calibri Light" w:cs="Calibri Light"/>
      <w:b/>
      <w:bCs/>
      <w:color w:val="637052"/>
    </w:rPr>
  </w:style>
  <w:style w:type="character" w:styleId="char10" w:customStyle="1">
    <w:name w:val="Kop 9 Char"/>
    <w:basedOn w:val="char0"/>
    <w:rPr>
      <w:rFonts w:ascii="Calibri Light" w:hAnsi="Calibri Light" w:eastAsia="Calibri Light" w:cs="Calibri Light"/>
      <w:b/>
      <w:bCs/>
      <w:i/>
      <w:iCs/>
      <w:color w:val="637052"/>
    </w:rPr>
  </w:style>
  <w:style w:type="character" w:styleId="char11" w:customStyle="1">
    <w:name w:val="Titel Char"/>
    <w:basedOn w:val="char0"/>
    <w:rPr>
      <w:rFonts w:ascii="Calibri Light" w:hAnsi="Calibri Light" w:eastAsia="Calibri Light" w:cs="Calibri Light"/>
      <w:color w:val="e48312"/>
      <w:spacing w:val="-9" w:percent="97"/>
      <w:sz w:val="56"/>
      <w:szCs w:val="56"/>
    </w:rPr>
  </w:style>
  <w:style w:type="character" w:styleId="char12" w:customStyle="1">
    <w:name w:val="Ondertitel Char"/>
    <w:basedOn w:val="char0"/>
    <w:rPr>
      <w:rFonts w:ascii="Calibri Light" w:hAnsi="Calibri Light" w:eastAsia="Calibri Light" w:cs="Calibri Light"/>
      <w:sz w:val="24"/>
      <w:szCs w:val="24"/>
    </w:rPr>
  </w:style>
  <w:style w:type="character" w:styleId="char13" w:customStyle="1">
    <w:name w:val="Citaat Char"/>
    <w:basedOn w:val="char0"/>
    <w:rPr>
      <w:i/>
      <w:iCs/>
      <w:color w:val="404040"/>
    </w:rPr>
  </w:style>
  <w:style w:type="character" w:styleId="char14" w:customStyle="1">
    <w:name w:val="Duidelijk citaat Char"/>
    <w:basedOn w:val="char0"/>
    <w:rPr>
      <w:rFonts w:ascii="Calibri Light" w:hAnsi="Calibri Light" w:eastAsia="Calibri Light" w:cs="Calibri Light"/>
      <w:color w:val="e48312"/>
      <w:sz w:val="28"/>
      <w:szCs w:val="28"/>
    </w:rPr>
  </w:style>
  <w:style w:type="character" w:styleId="char15">
    <w:name w:val="Intense Reference"/>
    <w:basedOn w:val="char0"/>
    <w:rPr>
      <w:b/>
      <w:bCs/>
      <w:smallCaps w:percent="80"/>
      <w:spacing w:val="0" w:percent="100"/>
      <w:u w:color="auto" w:val="single"/>
    </w:rPr>
  </w:style>
  <w:style w:type="character" w:styleId="char16">
    <w:name w:val="Strong"/>
    <w:basedOn w:val="char0"/>
    <w:rPr>
      <w:b/>
      <w:bCs/>
    </w:rPr>
  </w:style>
  <w:style w:type="character" w:styleId="char17">
    <w:name w:val="Emphasis"/>
    <w:basedOn w:val="char0"/>
    <w:rPr>
      <w:i/>
      <w:iCs/>
    </w:rPr>
  </w:style>
  <w:style w:type="character" w:styleId="char18">
    <w:name w:val="Subtle Emphasis"/>
    <w:basedOn w:val="char0"/>
    <w:rPr>
      <w:i/>
      <w:iCs/>
      <w:color w:val="404040"/>
    </w:rPr>
  </w:style>
  <w:style w:type="character" w:styleId="char19">
    <w:name w:val="Subtle Reference"/>
    <w:basedOn w:val="char0"/>
    <w:rPr>
      <w:smallCaps w:percent="80"/>
      <w:color w:val="404040"/>
      <w:u w:color="7f7f7f" w:val="single"/>
    </w:rPr>
  </w:style>
  <w:style w:type="character" w:styleId="char20">
    <w:name w:val="Book Title"/>
    <w:basedOn w:val="char0"/>
    <w:rPr>
      <w:b/>
      <w:bCs/>
      <w:smallCaps w:percent="80"/>
    </w:rPr>
  </w:style>
  <w:style w:type="character" w:styleId="char21" w:customStyle="1">
    <w:name w:val="annotation reference"/>
    <w:basedOn w:val="char0"/>
    <w:rPr>
      <w:sz w:val="16"/>
      <w:szCs w:val="16"/>
    </w:rPr>
  </w:style>
  <w:style w:type="character" w:styleId="char22" w:customStyle="1">
    <w:name w:val="Tekst opmerking Char"/>
    <w:basedOn w:val="char0"/>
  </w:style>
  <w:style w:type="character" w:styleId="char23" w:customStyle="1">
    <w:name w:val="Onderwerp van opmerking Char"/>
    <w:basedOn w:val="char22"/>
    <w:rPr>
      <w:b/>
      <w:bCs/>
    </w:rPr>
  </w:style>
  <w:style w:type="character" w:styleId="char24" w:customStyle="1">
    <w:name w:val="Voetnoottekst Char"/>
    <w:basedOn w:val="char0"/>
  </w:style>
  <w:style w:type="character" w:styleId="char25">
    <w:name w:val="Footnote Reference"/>
    <w:basedOn w:val="char0"/>
    <w:rPr>
      <w:vertAlign w:val="superscript"/>
    </w:rPr>
  </w:style>
  <w:style w:type="character" w:styleId="char26">
    <w:name w:val="Hyperlink"/>
    <w:basedOn w:val="char0"/>
    <w:rPr>
      <w:b w:val="0"/>
      <w:i w:val="0"/>
      <w:color w:val="1b1f17"/>
      <w:u w:color="auto" w:val="single"/>
    </w:rPr>
  </w:style>
  <w:style w:type="character" w:styleId="char27" w:customStyle="1">
    <w:name w:val="Unresolved Mention"/>
    <w:basedOn w:val="char0"/>
    <w:rPr>
      <w:color w:val="605e5c"/>
      <w:shd w:val="clear" w:fill="e1dfdd"/>
    </w:rPr>
  </w:style>
  <w:style w:type="character" w:styleId="char28" w:customStyle="1">
    <w:name w:val="Koptekst Char"/>
    <w:basedOn w:val="char0"/>
  </w:style>
  <w:style w:type="character" w:styleId="char29" w:customStyle="1">
    <w:name w:val="Voettekst Char"/>
    <w:basedOn w:val="char0"/>
  </w:style>
  <w:style w:type="character" w:styleId="char30">
    <w:name w:val="FollowedHyperlink"/>
    <w:basedOn w:val="char0"/>
    <w:rPr>
      <w:color w:val="8c8c8c"/>
      <w:u w:color="auto" w:val="single"/>
    </w:rPr>
  </w:style>
  <w:style w:type="character" w:styleId="char31">
    <w:name w:val="Placeholder Text"/>
    <w:basedOn w:val="char0"/>
    <w:rPr>
      <w:color w:val="666666"/>
    </w:rPr>
  </w:style>
  <w:style w:type="table" w:default="1" w:styleId="TableNormal">
    <w:name w:val="Normale tabe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 Id="rId9" Type="http://schemas.openxmlformats.org/officeDocument/2006/relationships/hyperlink" Target="https://hdl.handle.net/21.12102/CFF63693810D47B180564F8429FFDCAC" TargetMode="External"/><Relationship Id="rId10" Type="http://schemas.openxmlformats.org/officeDocument/2006/relationships/hyperlink" Target="https://www.erfgoedleiden.nl/collecties/archieven/archievenoverzicht/details/0508/" TargetMode="External"/><Relationship Id="rId11" Type="http://schemas.openxmlformats.org/officeDocument/2006/relationships/hyperlink" Target="https://archief.amsterdam/inventarissen/scans/5061/1.18.1/start/0/limit/10/highlight/1" TargetMode="External"/><Relationship Id="rId12" Type="http://schemas.openxmlformats.org/officeDocument/2006/relationships/hyperlink" Target="https://webggc.oclc.org/cbs/DB=2.37/XMLPRS=Y/PPN?PPN=380414791" TargetMode="External"/><Relationship Id="rId13" Type="http://schemas.openxmlformats.org/officeDocument/2006/relationships/hyperlink" Target="ENGELANT,%20&amp;c..%20&quot;Oprechte%20Haerlemsche%20courant&quot;.%20Haerlem,%2003-02-1680,%20p.%202.%20Geraadpleegd%20op%20Delpher%20op%2012-06-2026,%20https:/resolver.kb.nl/resolve?urn=MMNHA02:164946169:mpeg21:p00002" TargetMode="External"/><Relationship Id="rId14" Type="http://schemas.openxmlformats.org/officeDocument/2006/relationships/hyperlink" Target="https://www.erfgoedleiden.nl/collecties/archieven/archievenoverzicht/file/9b32ea8b-3f20-3dd9-b480-068d5ce77aa7" TargetMode="External"/><Relationship Id="rId15" Type="http://schemas.openxmlformats.org/officeDocument/2006/relationships/hyperlink" Target="https://hdl.handle.net/21.12143/239893614" TargetMode="External"/><Relationship Id="rId16" Type="http://schemas.openxmlformats.org/officeDocument/2006/relationships/hyperlink" Target="https://hetutrechtsarchief.nl/collectie/609C5C980BF54642E0534701000A17FD" TargetMode="External"/><Relationship Id="rId17" Type="http://schemas.openxmlformats.org/officeDocument/2006/relationships/footnotes" Target="footnotes.xml"/><Relationship Id="rId18" Type="http://schemas.openxmlformats.org/officeDocument/2006/relationships/hyperlink" Target="Stadsarchief%20Amsterdam,%20Toegang%205075:%20Archief%20van%20de%20notarissen%20ter%20standplaats%20Amsterdam,%201578&#8211;1915.%20Inventaris%20digitaal%20beschikbaar%20via%20het%20Stadsarchief%20Amsterdam." TargetMode="External"/><Relationship Id="rId19" Type="http://schemas.openxmlformats.org/officeDocument/2006/relationships/hyperlink" Target="https://www.erfgoedleiden.nl/collecties/archieven/archievenoverzicht/details/0907A/keywords/notarieel%20archief" TargetMode="External"/><Relationship Id="rId20" Type="http://schemas.openxmlformats.org/officeDocument/2006/relationships/hyperlink" Target="https://app.transkribus.org/nld/sites/noord-hollandsarchief" TargetMode="External"/><Relationship Id="rId21" Type="http://schemas.openxmlformats.org/officeDocument/2006/relationships/hyperlink" Target="https://www.amsterdam.nl/stadsarchief/alleamsterdamseakten/"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a:ea typeface="Calibri Light"/>
        <a:cs typeface="Calibri Light"/>
      </a:majorFont>
      <a:minorFont>
        <a:latin typeface="Aptos"/>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van Gerwen</dc:creator>
  <cp:keywords/>
  <dc:description/>
  <cp:lastModifiedBy>Otten</cp:lastModifiedBy>
  <cp:revision>257</cp:revision>
  <dcterms:created xsi:type="dcterms:W3CDTF">2026-04-16T10:52:00Z</dcterms:created>
  <dcterms:modified xsi:type="dcterms:W3CDTF">2026-06-18T14:50:27Z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id="3EpfDDrx"/&gt;&lt;style id="http://www.zotero.org/styles/chicago-notes-bibliography" locale="nl-NL"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